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9E" w:rsidRDefault="00CA489E">
      <w:pPr>
        <w:pStyle w:val="Text"/>
      </w:pPr>
    </w:p>
    <w:p w:rsidR="00CA489E" w:rsidRDefault="00CA489E">
      <w:pPr>
        <w:pStyle w:val="Text"/>
      </w:pPr>
    </w:p>
    <w:p w:rsidR="00CA489E" w:rsidRDefault="00822AF7">
      <w:pPr>
        <w:pStyle w:val="Text"/>
      </w:pPr>
      <w:r w:rsidRPr="00822AF7">
        <w:rPr>
          <w:noProof/>
          <w:lang w:val="fr-FR" w:eastAsia="fr-FR"/>
        </w:rPr>
        <w:pict>
          <v:rect id="_x0000_s1027" style="position:absolute;margin-left:.45pt;margin-top:6.7pt;width:455.3pt;height:137.05pt;z-index:251658240" strokecolor="#bfbfbf">
            <v:textbox style="mso-next-textbox:#_x0000_s1027">
              <w:txbxContent>
                <w:p w:rsidR="00800939" w:rsidRDefault="00800939" w:rsidP="0083051C">
                  <w:pPr>
                    <w:pStyle w:val="Text"/>
                    <w:jc w:val="center"/>
                    <w:rPr>
                      <w:color w:val="FF0000"/>
                      <w:sz w:val="40"/>
                    </w:rPr>
                  </w:pPr>
                </w:p>
                <w:p w:rsidR="00800939" w:rsidRDefault="00800939" w:rsidP="00EF007B">
                  <w:pPr>
                    <w:jc w:val="center"/>
                  </w:pPr>
                  <w:r>
                    <w:rPr>
                      <w:noProof/>
                      <w:color w:val="FF0000"/>
                      <w:sz w:val="40"/>
                      <w:lang w:val="es-ES" w:eastAsia="es-ES"/>
                    </w:rPr>
                    <w:drawing>
                      <wp:inline distT="0" distB="0" distL="0" distR="0">
                        <wp:extent cx="3086100" cy="685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srcRect/>
                                <a:stretch>
                                  <a:fillRect/>
                                </a:stretch>
                              </pic:blipFill>
                              <pic:spPr bwMode="auto">
                                <a:xfrm>
                                  <a:off x="0" y="0"/>
                                  <a:ext cx="3086100" cy="685800"/>
                                </a:xfrm>
                                <a:prstGeom prst="rect">
                                  <a:avLst/>
                                </a:prstGeom>
                                <a:noFill/>
                                <a:ln w="9525">
                                  <a:noFill/>
                                  <a:miter lim="800000"/>
                                  <a:headEnd/>
                                  <a:tailEnd/>
                                </a:ln>
                              </pic:spPr>
                            </pic:pic>
                          </a:graphicData>
                        </a:graphic>
                      </wp:inline>
                    </w:drawing>
                  </w:r>
                </w:p>
              </w:txbxContent>
            </v:textbox>
          </v:rect>
        </w:pict>
      </w:r>
    </w:p>
    <w:p w:rsidR="00CA489E" w:rsidRDefault="00CA489E">
      <w:pPr>
        <w:pStyle w:val="Text"/>
      </w:pPr>
    </w:p>
    <w:p w:rsidR="00CA489E" w:rsidRDefault="00CA489E">
      <w:pPr>
        <w:pStyle w:val="Text"/>
      </w:pPr>
    </w:p>
    <w:p w:rsidR="00CA489E" w:rsidRDefault="00CA489E">
      <w:pPr>
        <w:pStyle w:val="Text"/>
      </w:pPr>
    </w:p>
    <w:p w:rsidR="00CA489E" w:rsidRDefault="00CA489E">
      <w:pPr>
        <w:pStyle w:val="Text"/>
      </w:pPr>
    </w:p>
    <w:p w:rsidR="00CA489E" w:rsidRDefault="00CA489E">
      <w:pPr>
        <w:pStyle w:val="Text"/>
      </w:pPr>
    </w:p>
    <w:p w:rsidR="00CA489E" w:rsidRDefault="00CA489E">
      <w:pPr>
        <w:pStyle w:val="Text"/>
      </w:pPr>
    </w:p>
    <w:p w:rsidR="00CA489E" w:rsidRDefault="00CA489E">
      <w:pPr>
        <w:pStyle w:val="Text"/>
      </w:pPr>
    </w:p>
    <w:p w:rsidR="00CA489E" w:rsidRDefault="00CA489E">
      <w:pPr>
        <w:pStyle w:val="Text"/>
      </w:pPr>
    </w:p>
    <w:p w:rsidR="00CA489E" w:rsidRDefault="00CA489E">
      <w:pPr>
        <w:pStyle w:val="Text"/>
      </w:pPr>
    </w:p>
    <w:p w:rsidR="00CA489E" w:rsidRDefault="00CA489E">
      <w:pPr>
        <w:pStyle w:val="Text"/>
      </w:pPr>
    </w:p>
    <w:p w:rsidR="00CA489E" w:rsidRDefault="00CA489E">
      <w:pPr>
        <w:pStyle w:val="Text"/>
      </w:pPr>
    </w:p>
    <w:p w:rsidR="00CA489E" w:rsidRDefault="00CA489E">
      <w:pPr>
        <w:pStyle w:val="Text"/>
      </w:pPr>
    </w:p>
    <w:p w:rsidR="00CA489E" w:rsidRDefault="00CA489E">
      <w:pPr>
        <w:pStyle w:val="Text"/>
      </w:pPr>
    </w:p>
    <w:p w:rsidR="00CA489E" w:rsidRDefault="00CA489E">
      <w:pPr>
        <w:pStyle w:val="Text"/>
      </w:pPr>
    </w:p>
    <w:p w:rsidR="00CA489E" w:rsidRDefault="00CA489E">
      <w:pPr>
        <w:pStyle w:val="Text"/>
      </w:pPr>
    </w:p>
    <w:p w:rsidR="00CA489E" w:rsidRPr="00AF2211" w:rsidRDefault="00CA489E" w:rsidP="00AF2211">
      <w:pPr>
        <w:pStyle w:val="Head1"/>
        <w:pBdr>
          <w:top w:val="single" w:sz="4" w:space="1" w:color="auto"/>
          <w:left w:val="single" w:sz="4" w:space="1" w:color="auto"/>
          <w:bottom w:val="single" w:sz="4" w:space="1" w:color="auto"/>
          <w:right w:val="single" w:sz="4" w:space="1" w:color="auto"/>
        </w:pBdr>
        <w:rPr>
          <w:color w:val="FF0000"/>
          <w:sz w:val="44"/>
          <w:szCs w:val="44"/>
        </w:rPr>
      </w:pPr>
    </w:p>
    <w:p w:rsidR="00CA489E" w:rsidRPr="00EF007B" w:rsidRDefault="00CA489E" w:rsidP="00C803A6">
      <w:pPr>
        <w:pStyle w:val="Head1"/>
        <w:pBdr>
          <w:top w:val="single" w:sz="4" w:space="1" w:color="auto"/>
          <w:left w:val="single" w:sz="4" w:space="1" w:color="auto"/>
          <w:bottom w:val="single" w:sz="4" w:space="1" w:color="auto"/>
          <w:right w:val="single" w:sz="4" w:space="1" w:color="auto"/>
        </w:pBdr>
        <w:spacing w:after="240"/>
        <w:rPr>
          <w:szCs w:val="44"/>
        </w:rPr>
      </w:pPr>
      <w:r w:rsidRPr="00EF007B">
        <w:rPr>
          <w:szCs w:val="44"/>
        </w:rPr>
        <w:t xml:space="preserve">SOUTH-WEST REGION </w:t>
      </w:r>
    </w:p>
    <w:p w:rsidR="00CA489E" w:rsidRPr="00EF007B" w:rsidRDefault="00CA489E" w:rsidP="00C803A6">
      <w:pPr>
        <w:pStyle w:val="Head1"/>
        <w:pBdr>
          <w:top w:val="single" w:sz="4" w:space="1" w:color="auto"/>
          <w:left w:val="single" w:sz="4" w:space="1" w:color="auto"/>
          <w:bottom w:val="single" w:sz="4" w:space="1" w:color="auto"/>
          <w:right w:val="single" w:sz="4" w:space="1" w:color="auto"/>
        </w:pBdr>
        <w:spacing w:after="240"/>
        <w:rPr>
          <w:sz w:val="44"/>
          <w:szCs w:val="44"/>
        </w:rPr>
      </w:pPr>
      <w:r w:rsidRPr="00EF007B">
        <w:rPr>
          <w:sz w:val="44"/>
          <w:szCs w:val="44"/>
        </w:rPr>
        <w:t>ELECTRICITY REGIONAL INITIATIVE</w:t>
      </w:r>
    </w:p>
    <w:p w:rsidR="00CA489E" w:rsidRPr="00AF2211" w:rsidRDefault="00CA489E" w:rsidP="00C803A6">
      <w:pPr>
        <w:pStyle w:val="Head1"/>
        <w:pBdr>
          <w:top w:val="single" w:sz="4" w:space="1" w:color="auto"/>
          <w:left w:val="single" w:sz="4" w:space="1" w:color="auto"/>
          <w:bottom w:val="single" w:sz="4" w:space="1" w:color="auto"/>
          <w:right w:val="single" w:sz="4" w:space="1" w:color="auto"/>
        </w:pBdr>
        <w:spacing w:after="240"/>
        <w:rPr>
          <w:sz w:val="44"/>
          <w:szCs w:val="44"/>
        </w:rPr>
      </w:pPr>
      <w:r w:rsidRPr="00EF007B">
        <w:rPr>
          <w:sz w:val="44"/>
          <w:szCs w:val="44"/>
        </w:rPr>
        <w:t>WORK PLAN 2011</w:t>
      </w:r>
      <w:r w:rsidRPr="00AF2211">
        <w:rPr>
          <w:sz w:val="44"/>
          <w:szCs w:val="44"/>
        </w:rPr>
        <w:t>-2014</w:t>
      </w:r>
    </w:p>
    <w:p w:rsidR="00CA489E" w:rsidRPr="00AF2211" w:rsidRDefault="00CA489E" w:rsidP="00C803A6">
      <w:pPr>
        <w:pStyle w:val="Text"/>
        <w:pBdr>
          <w:top w:val="single" w:sz="4" w:space="1" w:color="auto"/>
          <w:left w:val="single" w:sz="4" w:space="1" w:color="auto"/>
          <w:bottom w:val="single" w:sz="4" w:space="1" w:color="auto"/>
          <w:right w:val="single" w:sz="4" w:space="1" w:color="auto"/>
        </w:pBdr>
        <w:spacing w:after="240"/>
        <w:rPr>
          <w:sz w:val="44"/>
          <w:szCs w:val="44"/>
        </w:rPr>
      </w:pPr>
    </w:p>
    <w:p w:rsidR="00CA489E" w:rsidRDefault="00CA489E">
      <w:pPr>
        <w:pStyle w:val="Text"/>
      </w:pPr>
    </w:p>
    <w:p w:rsidR="00CA489E" w:rsidRDefault="00CA489E">
      <w:pPr>
        <w:pStyle w:val="Text"/>
      </w:pPr>
    </w:p>
    <w:p w:rsidR="00CA489E" w:rsidRDefault="00CA489E">
      <w:pPr>
        <w:pStyle w:val="Text"/>
      </w:pPr>
    </w:p>
    <w:p w:rsidR="00CA489E" w:rsidRPr="00357FB6" w:rsidRDefault="00CA489E">
      <w:pPr>
        <w:pStyle w:val="Text"/>
      </w:pPr>
    </w:p>
    <w:p w:rsidR="00CA489E" w:rsidRPr="00A579CD" w:rsidRDefault="00CA489E">
      <w:pPr>
        <w:pStyle w:val="Head2"/>
        <w:rPr>
          <w:color w:val="FF0000"/>
        </w:rPr>
      </w:pPr>
      <w:r w:rsidRPr="00A579CD">
        <w:rPr>
          <w:color w:val="FF0000"/>
        </w:rPr>
        <w:t>Version 1.3</w:t>
      </w:r>
      <w:r w:rsidR="00FF5B71">
        <w:rPr>
          <w:color w:val="FF0000"/>
        </w:rPr>
        <w:t xml:space="preserve"> provisional</w:t>
      </w:r>
    </w:p>
    <w:p w:rsidR="00CA489E" w:rsidRPr="00A579CD" w:rsidRDefault="00CA489E">
      <w:pPr>
        <w:pStyle w:val="Head2"/>
        <w:rPr>
          <w:color w:val="FF0000"/>
        </w:rPr>
      </w:pPr>
      <w:r w:rsidRPr="00A579CD">
        <w:rPr>
          <w:color w:val="FF0000"/>
        </w:rPr>
        <w:t>November 2011</w:t>
      </w:r>
    </w:p>
    <w:p w:rsidR="00CA489E" w:rsidRPr="00357FB6" w:rsidRDefault="00CA489E">
      <w:pPr>
        <w:pStyle w:val="Text"/>
      </w:pPr>
    </w:p>
    <w:p w:rsidR="00CA489E" w:rsidRPr="00357FB6" w:rsidRDefault="00CA489E">
      <w:pPr>
        <w:pStyle w:val="Text"/>
      </w:pPr>
    </w:p>
    <w:p w:rsidR="00CA489E" w:rsidRPr="00357FB6" w:rsidRDefault="00CA489E">
      <w:pPr>
        <w:pStyle w:val="Text"/>
        <w:sectPr w:rsidR="00CA489E" w:rsidRPr="00357FB6">
          <w:headerReference w:type="default" r:id="rId8"/>
          <w:footerReference w:type="even" r:id="rId9"/>
          <w:footerReference w:type="default" r:id="rId10"/>
          <w:headerReference w:type="first" r:id="rId11"/>
          <w:footerReference w:type="first" r:id="rId12"/>
          <w:pgSz w:w="11906" w:h="16838" w:code="9"/>
          <w:pgMar w:top="1701" w:right="1134" w:bottom="1701" w:left="1418" w:header="709" w:footer="709" w:gutter="284"/>
          <w:cols w:space="708"/>
          <w:titlePg/>
          <w:rtlGutter/>
          <w:docGrid w:linePitch="360"/>
        </w:sectPr>
      </w:pPr>
    </w:p>
    <w:p w:rsidR="00CA489E" w:rsidRDefault="00CA489E">
      <w:pPr>
        <w:pStyle w:val="Head3"/>
        <w:jc w:val="center"/>
      </w:pPr>
    </w:p>
    <w:p w:rsidR="00CA489E" w:rsidRDefault="00CA489E">
      <w:pPr>
        <w:pStyle w:val="Head3"/>
        <w:jc w:val="center"/>
      </w:pPr>
      <w:r>
        <w:t>Table of contents</w:t>
      </w:r>
    </w:p>
    <w:p w:rsidR="00CA489E" w:rsidRDefault="00CA489E">
      <w:pPr>
        <w:pStyle w:val="Text"/>
      </w:pPr>
    </w:p>
    <w:p w:rsidR="00CA489E" w:rsidRDefault="00822AF7">
      <w:pPr>
        <w:pStyle w:val="TDC1"/>
        <w:rPr>
          <w:rFonts w:ascii="Calibri" w:hAnsi="Calibri" w:cs="Times New Roman"/>
          <w:b w:val="0"/>
          <w:bCs w:val="0"/>
          <w:caps w:val="0"/>
          <w:lang w:val="es-ES" w:eastAsia="es-ES"/>
        </w:rPr>
      </w:pPr>
      <w:r w:rsidRPr="00822AF7">
        <w:fldChar w:fldCharType="begin"/>
      </w:r>
      <w:r w:rsidR="00CA489E">
        <w:instrText xml:space="preserve"> TOC \o "2-4" \h \z \t "Título 1;1" </w:instrText>
      </w:r>
      <w:r w:rsidRPr="00822AF7">
        <w:fldChar w:fldCharType="separate"/>
      </w:r>
      <w:hyperlink w:anchor="_Toc293416705" w:history="1">
        <w:r w:rsidR="00CA489E" w:rsidRPr="00D802E8">
          <w:rPr>
            <w:rStyle w:val="Hipervnculo"/>
            <w:rFonts w:cs="Arial"/>
          </w:rPr>
          <w:t>1</w:t>
        </w:r>
        <w:r w:rsidR="00CA489E">
          <w:rPr>
            <w:rFonts w:ascii="Calibri" w:hAnsi="Calibri" w:cs="Times New Roman"/>
            <w:b w:val="0"/>
            <w:bCs w:val="0"/>
            <w:caps w:val="0"/>
            <w:lang w:val="es-ES" w:eastAsia="es-ES"/>
          </w:rPr>
          <w:tab/>
        </w:r>
        <w:r w:rsidR="00CA489E" w:rsidRPr="00D802E8">
          <w:rPr>
            <w:rStyle w:val="Hipervnculo"/>
            <w:rFonts w:cs="Arial"/>
          </w:rPr>
          <w:t>Introduction</w:t>
        </w:r>
        <w:r w:rsidR="00CA489E">
          <w:rPr>
            <w:webHidden/>
          </w:rPr>
          <w:tab/>
        </w:r>
        <w:r>
          <w:rPr>
            <w:webHidden/>
          </w:rPr>
          <w:fldChar w:fldCharType="begin"/>
        </w:r>
        <w:r w:rsidR="00CA489E">
          <w:rPr>
            <w:webHidden/>
          </w:rPr>
          <w:instrText xml:space="preserve"> PAGEREF _Toc293416705 \h </w:instrText>
        </w:r>
        <w:r>
          <w:rPr>
            <w:webHidden/>
          </w:rPr>
        </w:r>
        <w:r>
          <w:rPr>
            <w:webHidden/>
          </w:rPr>
          <w:fldChar w:fldCharType="separate"/>
        </w:r>
        <w:r w:rsidR="00CA489E">
          <w:rPr>
            <w:webHidden/>
          </w:rPr>
          <w:t>4</w:t>
        </w:r>
        <w:r>
          <w:rPr>
            <w:webHidden/>
          </w:rPr>
          <w:fldChar w:fldCharType="end"/>
        </w:r>
      </w:hyperlink>
    </w:p>
    <w:p w:rsidR="00CA489E" w:rsidRDefault="00822AF7">
      <w:pPr>
        <w:pStyle w:val="TDC2"/>
        <w:rPr>
          <w:rFonts w:ascii="Calibri" w:hAnsi="Calibri"/>
          <w:bCs w:val="0"/>
          <w:noProof/>
          <w:lang w:val="es-ES" w:eastAsia="es-ES"/>
        </w:rPr>
      </w:pPr>
      <w:hyperlink w:anchor="_Toc293416706" w:history="1">
        <w:r w:rsidR="00CA489E" w:rsidRPr="00D802E8">
          <w:rPr>
            <w:rStyle w:val="Hipervnculo"/>
            <w:noProof/>
          </w:rPr>
          <w:t>1.1</w:t>
        </w:r>
        <w:r w:rsidR="00CA489E">
          <w:rPr>
            <w:rFonts w:ascii="Calibri" w:hAnsi="Calibri"/>
            <w:bCs w:val="0"/>
            <w:noProof/>
            <w:lang w:val="es-ES" w:eastAsia="es-ES"/>
          </w:rPr>
          <w:tab/>
        </w:r>
        <w:r w:rsidR="00CA489E" w:rsidRPr="00D802E8">
          <w:rPr>
            <w:rStyle w:val="Hipervnculo"/>
            <w:noProof/>
          </w:rPr>
          <w:t>Review of progress achieved in the period 2007-2009</w:t>
        </w:r>
        <w:r w:rsidR="00CA489E">
          <w:rPr>
            <w:noProof/>
            <w:webHidden/>
          </w:rPr>
          <w:tab/>
        </w:r>
        <w:r>
          <w:rPr>
            <w:noProof/>
            <w:webHidden/>
          </w:rPr>
          <w:fldChar w:fldCharType="begin"/>
        </w:r>
        <w:r w:rsidR="00CA489E">
          <w:rPr>
            <w:noProof/>
            <w:webHidden/>
          </w:rPr>
          <w:instrText xml:space="preserve"> PAGEREF _Toc293416706 \h </w:instrText>
        </w:r>
        <w:r>
          <w:rPr>
            <w:noProof/>
            <w:webHidden/>
          </w:rPr>
        </w:r>
        <w:r>
          <w:rPr>
            <w:noProof/>
            <w:webHidden/>
          </w:rPr>
          <w:fldChar w:fldCharType="separate"/>
        </w:r>
        <w:r w:rsidR="00CA489E">
          <w:rPr>
            <w:noProof/>
            <w:webHidden/>
          </w:rPr>
          <w:t>4</w:t>
        </w:r>
        <w:r>
          <w:rPr>
            <w:noProof/>
            <w:webHidden/>
          </w:rPr>
          <w:fldChar w:fldCharType="end"/>
        </w:r>
      </w:hyperlink>
    </w:p>
    <w:p w:rsidR="00CA489E" w:rsidRDefault="00822AF7">
      <w:pPr>
        <w:pStyle w:val="TDC1"/>
        <w:rPr>
          <w:rFonts w:ascii="Calibri" w:hAnsi="Calibri" w:cs="Times New Roman"/>
          <w:b w:val="0"/>
          <w:bCs w:val="0"/>
          <w:caps w:val="0"/>
          <w:lang w:val="es-ES" w:eastAsia="es-ES"/>
        </w:rPr>
      </w:pPr>
      <w:hyperlink w:anchor="_Toc293416707" w:history="1">
        <w:r w:rsidR="00CA489E" w:rsidRPr="00D802E8">
          <w:rPr>
            <w:rStyle w:val="Hipervnculo"/>
            <w:rFonts w:cs="Arial"/>
          </w:rPr>
          <w:t>2</w:t>
        </w:r>
        <w:r w:rsidR="00CA489E">
          <w:rPr>
            <w:rFonts w:ascii="Calibri" w:hAnsi="Calibri" w:cs="Times New Roman"/>
            <w:b w:val="0"/>
            <w:bCs w:val="0"/>
            <w:caps w:val="0"/>
            <w:lang w:val="es-ES" w:eastAsia="es-ES"/>
          </w:rPr>
          <w:tab/>
        </w:r>
        <w:r w:rsidR="00CA489E" w:rsidRPr="00D802E8">
          <w:rPr>
            <w:rStyle w:val="Hipervnculo"/>
            <w:rFonts w:cs="Arial"/>
          </w:rPr>
          <w:t>Priorities and deliverables for 2011-2014</w:t>
        </w:r>
        <w:r w:rsidR="00CA489E">
          <w:rPr>
            <w:webHidden/>
          </w:rPr>
          <w:tab/>
        </w:r>
        <w:r>
          <w:rPr>
            <w:webHidden/>
          </w:rPr>
          <w:fldChar w:fldCharType="begin"/>
        </w:r>
        <w:r w:rsidR="00CA489E">
          <w:rPr>
            <w:webHidden/>
          </w:rPr>
          <w:instrText xml:space="preserve"> PAGEREF _Toc293416707 \h </w:instrText>
        </w:r>
        <w:r>
          <w:rPr>
            <w:webHidden/>
          </w:rPr>
        </w:r>
        <w:r>
          <w:rPr>
            <w:webHidden/>
          </w:rPr>
          <w:fldChar w:fldCharType="separate"/>
        </w:r>
        <w:r w:rsidR="00CA489E">
          <w:rPr>
            <w:webHidden/>
          </w:rPr>
          <w:t>7</w:t>
        </w:r>
        <w:r>
          <w:rPr>
            <w:webHidden/>
          </w:rPr>
          <w:fldChar w:fldCharType="end"/>
        </w:r>
      </w:hyperlink>
    </w:p>
    <w:p w:rsidR="00CA489E" w:rsidRDefault="00822AF7">
      <w:pPr>
        <w:pStyle w:val="TDC2"/>
        <w:rPr>
          <w:rFonts w:ascii="Calibri" w:hAnsi="Calibri"/>
          <w:bCs w:val="0"/>
          <w:noProof/>
          <w:lang w:val="es-ES" w:eastAsia="es-ES"/>
        </w:rPr>
      </w:pPr>
      <w:hyperlink w:anchor="_Toc293416708" w:history="1">
        <w:r w:rsidR="00CA489E" w:rsidRPr="00D802E8">
          <w:rPr>
            <w:rStyle w:val="Hipervnculo"/>
            <w:noProof/>
          </w:rPr>
          <w:t>2.1</w:t>
        </w:r>
        <w:r w:rsidR="00CA489E">
          <w:rPr>
            <w:rFonts w:ascii="Calibri" w:hAnsi="Calibri"/>
            <w:bCs w:val="0"/>
            <w:noProof/>
            <w:lang w:val="es-ES" w:eastAsia="es-ES"/>
          </w:rPr>
          <w:tab/>
        </w:r>
        <w:r w:rsidR="00CA489E" w:rsidRPr="00D802E8">
          <w:rPr>
            <w:rStyle w:val="Hipervnculo"/>
            <w:noProof/>
          </w:rPr>
          <w:t>Priority I. Implementation of the target model</w:t>
        </w:r>
        <w:r w:rsidR="00CA489E">
          <w:rPr>
            <w:noProof/>
            <w:webHidden/>
          </w:rPr>
          <w:tab/>
        </w:r>
        <w:r>
          <w:rPr>
            <w:noProof/>
            <w:webHidden/>
          </w:rPr>
          <w:fldChar w:fldCharType="begin"/>
        </w:r>
        <w:r w:rsidR="00CA489E">
          <w:rPr>
            <w:noProof/>
            <w:webHidden/>
          </w:rPr>
          <w:instrText xml:space="preserve"> PAGEREF _Toc293416708 \h </w:instrText>
        </w:r>
        <w:r>
          <w:rPr>
            <w:noProof/>
            <w:webHidden/>
          </w:rPr>
        </w:r>
        <w:r>
          <w:rPr>
            <w:noProof/>
            <w:webHidden/>
          </w:rPr>
          <w:fldChar w:fldCharType="separate"/>
        </w:r>
        <w:r w:rsidR="00CA489E">
          <w:rPr>
            <w:noProof/>
            <w:webHidden/>
          </w:rPr>
          <w:t>7</w:t>
        </w:r>
        <w:r>
          <w:rPr>
            <w:noProof/>
            <w:webHidden/>
          </w:rPr>
          <w:fldChar w:fldCharType="end"/>
        </w:r>
      </w:hyperlink>
    </w:p>
    <w:p w:rsidR="00CA489E" w:rsidRDefault="00822AF7">
      <w:pPr>
        <w:pStyle w:val="TDC3"/>
        <w:rPr>
          <w:rFonts w:ascii="Calibri" w:hAnsi="Calibri"/>
          <w:noProof/>
          <w:szCs w:val="22"/>
          <w:lang w:val="es-ES" w:eastAsia="es-ES"/>
        </w:rPr>
      </w:pPr>
      <w:hyperlink w:anchor="_Toc293416709" w:history="1">
        <w:r w:rsidR="00CA489E" w:rsidRPr="00D802E8">
          <w:rPr>
            <w:rStyle w:val="Hipervnculo"/>
            <w:noProof/>
          </w:rPr>
          <w:t>2.1.1</w:t>
        </w:r>
        <w:r w:rsidR="00CA489E">
          <w:rPr>
            <w:rFonts w:ascii="Calibri" w:hAnsi="Calibri"/>
            <w:noProof/>
            <w:szCs w:val="22"/>
            <w:lang w:val="es-ES" w:eastAsia="es-ES"/>
          </w:rPr>
          <w:tab/>
        </w:r>
        <w:r w:rsidR="00CA489E" w:rsidRPr="00D802E8">
          <w:rPr>
            <w:rStyle w:val="Hipervnculo"/>
            <w:noProof/>
          </w:rPr>
          <w:t>Deliverable I.1 Long term</w:t>
        </w:r>
        <w:r w:rsidR="00CA489E">
          <w:rPr>
            <w:noProof/>
            <w:webHidden/>
          </w:rPr>
          <w:tab/>
        </w:r>
        <w:r>
          <w:rPr>
            <w:noProof/>
            <w:webHidden/>
          </w:rPr>
          <w:fldChar w:fldCharType="begin"/>
        </w:r>
        <w:r w:rsidR="00CA489E">
          <w:rPr>
            <w:noProof/>
            <w:webHidden/>
          </w:rPr>
          <w:instrText xml:space="preserve"> PAGEREF _Toc293416709 \h </w:instrText>
        </w:r>
        <w:r>
          <w:rPr>
            <w:noProof/>
            <w:webHidden/>
          </w:rPr>
        </w:r>
        <w:r>
          <w:rPr>
            <w:noProof/>
            <w:webHidden/>
          </w:rPr>
          <w:fldChar w:fldCharType="separate"/>
        </w:r>
        <w:r w:rsidR="00CA489E">
          <w:rPr>
            <w:noProof/>
            <w:webHidden/>
          </w:rPr>
          <w:t>8</w:t>
        </w:r>
        <w:r>
          <w:rPr>
            <w:noProof/>
            <w:webHidden/>
          </w:rPr>
          <w:fldChar w:fldCharType="end"/>
        </w:r>
      </w:hyperlink>
    </w:p>
    <w:p w:rsidR="00CA489E" w:rsidRDefault="00822AF7">
      <w:pPr>
        <w:pStyle w:val="TDC3"/>
        <w:rPr>
          <w:rFonts w:ascii="Calibri" w:hAnsi="Calibri"/>
          <w:noProof/>
          <w:szCs w:val="22"/>
          <w:lang w:val="es-ES" w:eastAsia="es-ES"/>
        </w:rPr>
      </w:pPr>
      <w:hyperlink w:anchor="_Toc293416710" w:history="1">
        <w:r w:rsidR="00CA489E" w:rsidRPr="00D802E8">
          <w:rPr>
            <w:rStyle w:val="Hipervnculo"/>
            <w:noProof/>
          </w:rPr>
          <w:t>2.1.2</w:t>
        </w:r>
        <w:r w:rsidR="00CA489E">
          <w:rPr>
            <w:rFonts w:ascii="Calibri" w:hAnsi="Calibri"/>
            <w:noProof/>
            <w:szCs w:val="22"/>
            <w:lang w:val="es-ES" w:eastAsia="es-ES"/>
          </w:rPr>
          <w:tab/>
        </w:r>
        <w:r w:rsidR="00CA489E" w:rsidRPr="00D802E8">
          <w:rPr>
            <w:rStyle w:val="Hipervnculo"/>
            <w:noProof/>
          </w:rPr>
          <w:t xml:space="preserve">Deliverable I.2 Day-ahead: </w:t>
        </w:r>
        <w:r w:rsidR="00CA489E" w:rsidRPr="00D802E8">
          <w:rPr>
            <w:rStyle w:val="Hipervnculo"/>
            <w:bCs/>
            <w:noProof/>
            <w:lang w:val="en-US"/>
          </w:rPr>
          <w:t>Single European price market coupling</w:t>
        </w:r>
        <w:r w:rsidR="00CA489E">
          <w:rPr>
            <w:noProof/>
            <w:webHidden/>
          </w:rPr>
          <w:tab/>
        </w:r>
        <w:r>
          <w:rPr>
            <w:noProof/>
            <w:webHidden/>
          </w:rPr>
          <w:fldChar w:fldCharType="begin"/>
        </w:r>
        <w:r w:rsidR="00CA489E">
          <w:rPr>
            <w:noProof/>
            <w:webHidden/>
          </w:rPr>
          <w:instrText xml:space="preserve"> PAGEREF _Toc293416710 \h </w:instrText>
        </w:r>
        <w:r>
          <w:rPr>
            <w:noProof/>
            <w:webHidden/>
          </w:rPr>
        </w:r>
        <w:r>
          <w:rPr>
            <w:noProof/>
            <w:webHidden/>
          </w:rPr>
          <w:fldChar w:fldCharType="separate"/>
        </w:r>
        <w:r w:rsidR="00CA489E">
          <w:rPr>
            <w:noProof/>
            <w:webHidden/>
          </w:rPr>
          <w:t>10</w:t>
        </w:r>
        <w:r>
          <w:rPr>
            <w:noProof/>
            <w:webHidden/>
          </w:rPr>
          <w:fldChar w:fldCharType="end"/>
        </w:r>
      </w:hyperlink>
    </w:p>
    <w:p w:rsidR="00CA489E" w:rsidRDefault="00822AF7">
      <w:pPr>
        <w:pStyle w:val="TDC3"/>
        <w:rPr>
          <w:rFonts w:ascii="Calibri" w:hAnsi="Calibri"/>
          <w:noProof/>
          <w:szCs w:val="22"/>
          <w:lang w:val="es-ES" w:eastAsia="es-ES"/>
        </w:rPr>
      </w:pPr>
      <w:hyperlink w:anchor="_Toc293416711" w:history="1">
        <w:r w:rsidR="00CA489E" w:rsidRPr="00D802E8">
          <w:rPr>
            <w:rStyle w:val="Hipervnculo"/>
            <w:noProof/>
          </w:rPr>
          <w:t>2.1.3</w:t>
        </w:r>
        <w:r w:rsidR="00CA489E">
          <w:rPr>
            <w:rFonts w:ascii="Calibri" w:hAnsi="Calibri"/>
            <w:noProof/>
            <w:szCs w:val="22"/>
            <w:lang w:val="es-ES" w:eastAsia="es-ES"/>
          </w:rPr>
          <w:tab/>
        </w:r>
        <w:r w:rsidR="00CA489E" w:rsidRPr="00D802E8">
          <w:rPr>
            <w:rStyle w:val="Hipervnculo"/>
            <w:noProof/>
          </w:rPr>
          <w:t>Deliverable I.3 Intraday</w:t>
        </w:r>
        <w:r w:rsidR="00CA489E">
          <w:rPr>
            <w:noProof/>
            <w:webHidden/>
          </w:rPr>
          <w:tab/>
        </w:r>
        <w:r>
          <w:rPr>
            <w:noProof/>
            <w:webHidden/>
          </w:rPr>
          <w:fldChar w:fldCharType="begin"/>
        </w:r>
        <w:r w:rsidR="00CA489E">
          <w:rPr>
            <w:noProof/>
            <w:webHidden/>
          </w:rPr>
          <w:instrText xml:space="preserve"> PAGEREF _Toc293416711 \h </w:instrText>
        </w:r>
        <w:r>
          <w:rPr>
            <w:noProof/>
            <w:webHidden/>
          </w:rPr>
        </w:r>
        <w:r>
          <w:rPr>
            <w:noProof/>
            <w:webHidden/>
          </w:rPr>
          <w:fldChar w:fldCharType="separate"/>
        </w:r>
        <w:r w:rsidR="00CA489E">
          <w:rPr>
            <w:noProof/>
            <w:webHidden/>
          </w:rPr>
          <w:t>12</w:t>
        </w:r>
        <w:r>
          <w:rPr>
            <w:noProof/>
            <w:webHidden/>
          </w:rPr>
          <w:fldChar w:fldCharType="end"/>
        </w:r>
      </w:hyperlink>
    </w:p>
    <w:p w:rsidR="00CA489E" w:rsidRDefault="00822AF7">
      <w:pPr>
        <w:pStyle w:val="TDC3"/>
        <w:rPr>
          <w:rFonts w:ascii="Calibri" w:hAnsi="Calibri"/>
          <w:noProof/>
          <w:szCs w:val="22"/>
          <w:lang w:val="es-ES" w:eastAsia="es-ES"/>
        </w:rPr>
      </w:pPr>
      <w:hyperlink w:anchor="_Toc293416712" w:history="1">
        <w:r w:rsidR="00CA489E" w:rsidRPr="00D802E8">
          <w:rPr>
            <w:rStyle w:val="Hipervnculo"/>
            <w:noProof/>
          </w:rPr>
          <w:t>2.1.4</w:t>
        </w:r>
        <w:r w:rsidR="00CA489E">
          <w:rPr>
            <w:rFonts w:ascii="Calibri" w:hAnsi="Calibri"/>
            <w:noProof/>
            <w:szCs w:val="22"/>
            <w:lang w:val="es-ES" w:eastAsia="es-ES"/>
          </w:rPr>
          <w:tab/>
        </w:r>
        <w:r w:rsidR="00CA489E" w:rsidRPr="00D802E8">
          <w:rPr>
            <w:rStyle w:val="Hipervnculo"/>
            <w:noProof/>
          </w:rPr>
          <w:t>Deliverable I.4: Cross-border balancing among TSOs</w:t>
        </w:r>
        <w:r w:rsidR="00CA489E">
          <w:rPr>
            <w:noProof/>
            <w:webHidden/>
          </w:rPr>
          <w:tab/>
        </w:r>
        <w:r>
          <w:rPr>
            <w:noProof/>
            <w:webHidden/>
          </w:rPr>
          <w:fldChar w:fldCharType="begin"/>
        </w:r>
        <w:r w:rsidR="00CA489E">
          <w:rPr>
            <w:noProof/>
            <w:webHidden/>
          </w:rPr>
          <w:instrText xml:space="preserve"> PAGEREF _Toc293416712 \h </w:instrText>
        </w:r>
        <w:r>
          <w:rPr>
            <w:noProof/>
            <w:webHidden/>
          </w:rPr>
        </w:r>
        <w:r>
          <w:rPr>
            <w:noProof/>
            <w:webHidden/>
          </w:rPr>
          <w:fldChar w:fldCharType="separate"/>
        </w:r>
        <w:r w:rsidR="00CA489E">
          <w:rPr>
            <w:noProof/>
            <w:webHidden/>
          </w:rPr>
          <w:t>14</w:t>
        </w:r>
        <w:r>
          <w:rPr>
            <w:noProof/>
            <w:webHidden/>
          </w:rPr>
          <w:fldChar w:fldCharType="end"/>
        </w:r>
      </w:hyperlink>
    </w:p>
    <w:p w:rsidR="00CA489E" w:rsidRDefault="00822AF7">
      <w:pPr>
        <w:pStyle w:val="TDC2"/>
        <w:rPr>
          <w:rFonts w:ascii="Calibri" w:hAnsi="Calibri"/>
          <w:bCs w:val="0"/>
          <w:noProof/>
          <w:lang w:val="es-ES" w:eastAsia="es-ES"/>
        </w:rPr>
      </w:pPr>
      <w:hyperlink w:anchor="_Toc293416713" w:history="1">
        <w:r w:rsidR="00CA489E" w:rsidRPr="00D802E8">
          <w:rPr>
            <w:rStyle w:val="Hipervnculo"/>
            <w:noProof/>
          </w:rPr>
          <w:t>2.2</w:t>
        </w:r>
        <w:r w:rsidR="00CA489E">
          <w:rPr>
            <w:rFonts w:ascii="Calibri" w:hAnsi="Calibri"/>
            <w:bCs w:val="0"/>
            <w:noProof/>
            <w:lang w:val="es-ES" w:eastAsia="es-ES"/>
          </w:rPr>
          <w:tab/>
        </w:r>
        <w:r w:rsidR="00CA489E" w:rsidRPr="00D802E8">
          <w:rPr>
            <w:rStyle w:val="Hipervnculo"/>
            <w:noProof/>
          </w:rPr>
          <w:t>Priority II. Interconnections and available transmission capacity</w:t>
        </w:r>
        <w:r w:rsidR="00CA489E">
          <w:rPr>
            <w:noProof/>
            <w:webHidden/>
          </w:rPr>
          <w:tab/>
        </w:r>
        <w:r>
          <w:rPr>
            <w:noProof/>
            <w:webHidden/>
          </w:rPr>
          <w:fldChar w:fldCharType="begin"/>
        </w:r>
        <w:r w:rsidR="00CA489E">
          <w:rPr>
            <w:noProof/>
            <w:webHidden/>
          </w:rPr>
          <w:instrText xml:space="preserve"> PAGEREF _Toc293416713 \h </w:instrText>
        </w:r>
        <w:r>
          <w:rPr>
            <w:noProof/>
            <w:webHidden/>
          </w:rPr>
        </w:r>
        <w:r>
          <w:rPr>
            <w:noProof/>
            <w:webHidden/>
          </w:rPr>
          <w:fldChar w:fldCharType="separate"/>
        </w:r>
        <w:r w:rsidR="00CA489E">
          <w:rPr>
            <w:noProof/>
            <w:webHidden/>
          </w:rPr>
          <w:t>17</w:t>
        </w:r>
        <w:r>
          <w:rPr>
            <w:noProof/>
            <w:webHidden/>
          </w:rPr>
          <w:fldChar w:fldCharType="end"/>
        </w:r>
      </w:hyperlink>
    </w:p>
    <w:p w:rsidR="00CA489E" w:rsidRDefault="00822AF7">
      <w:pPr>
        <w:pStyle w:val="TDC3"/>
        <w:rPr>
          <w:rFonts w:ascii="Calibri" w:hAnsi="Calibri"/>
          <w:noProof/>
          <w:szCs w:val="22"/>
          <w:lang w:val="es-ES" w:eastAsia="es-ES"/>
        </w:rPr>
      </w:pPr>
      <w:hyperlink w:anchor="_Toc293416714" w:history="1">
        <w:r w:rsidR="00CA489E" w:rsidRPr="00D802E8">
          <w:rPr>
            <w:rStyle w:val="Hipervnculo"/>
            <w:noProof/>
          </w:rPr>
          <w:t>2.2.1</w:t>
        </w:r>
        <w:r w:rsidR="00CA489E">
          <w:rPr>
            <w:rFonts w:ascii="Calibri" w:hAnsi="Calibri"/>
            <w:noProof/>
            <w:szCs w:val="22"/>
            <w:lang w:val="es-ES" w:eastAsia="es-ES"/>
          </w:rPr>
          <w:tab/>
        </w:r>
        <w:r w:rsidR="00CA489E" w:rsidRPr="00D802E8">
          <w:rPr>
            <w:rStyle w:val="Hipervnculo"/>
            <w:noProof/>
          </w:rPr>
          <w:t>Deliverable II.1: Regional investment plan</w:t>
        </w:r>
        <w:r w:rsidR="00CA489E">
          <w:rPr>
            <w:noProof/>
            <w:webHidden/>
          </w:rPr>
          <w:tab/>
        </w:r>
        <w:r>
          <w:rPr>
            <w:noProof/>
            <w:webHidden/>
          </w:rPr>
          <w:fldChar w:fldCharType="begin"/>
        </w:r>
        <w:r w:rsidR="00CA489E">
          <w:rPr>
            <w:noProof/>
            <w:webHidden/>
          </w:rPr>
          <w:instrText xml:space="preserve"> PAGEREF _Toc293416714 \h </w:instrText>
        </w:r>
        <w:r>
          <w:rPr>
            <w:noProof/>
            <w:webHidden/>
          </w:rPr>
        </w:r>
        <w:r>
          <w:rPr>
            <w:noProof/>
            <w:webHidden/>
          </w:rPr>
          <w:fldChar w:fldCharType="separate"/>
        </w:r>
        <w:r w:rsidR="00CA489E">
          <w:rPr>
            <w:noProof/>
            <w:webHidden/>
          </w:rPr>
          <w:t>17</w:t>
        </w:r>
        <w:r>
          <w:rPr>
            <w:noProof/>
            <w:webHidden/>
          </w:rPr>
          <w:fldChar w:fldCharType="end"/>
        </w:r>
      </w:hyperlink>
    </w:p>
    <w:p w:rsidR="00CA489E" w:rsidRDefault="00822AF7">
      <w:pPr>
        <w:pStyle w:val="TDC3"/>
        <w:rPr>
          <w:rFonts w:ascii="Calibri" w:hAnsi="Calibri"/>
          <w:noProof/>
          <w:szCs w:val="22"/>
          <w:lang w:val="es-ES" w:eastAsia="es-ES"/>
        </w:rPr>
      </w:pPr>
      <w:hyperlink w:anchor="_Toc293416715" w:history="1">
        <w:r w:rsidR="00CA489E" w:rsidRPr="00D802E8">
          <w:rPr>
            <w:rStyle w:val="Hipervnculo"/>
            <w:noProof/>
          </w:rPr>
          <w:t>2.2.2</w:t>
        </w:r>
        <w:r w:rsidR="00CA489E">
          <w:rPr>
            <w:rFonts w:ascii="Calibri" w:hAnsi="Calibri"/>
            <w:noProof/>
            <w:szCs w:val="22"/>
            <w:lang w:val="es-ES" w:eastAsia="es-ES"/>
          </w:rPr>
          <w:tab/>
        </w:r>
        <w:r w:rsidR="00CA489E" w:rsidRPr="00D802E8">
          <w:rPr>
            <w:rStyle w:val="Hipervnculo"/>
            <w:noProof/>
          </w:rPr>
          <w:t>Deliverable II.2: Analysis of concrete interconnection projects</w:t>
        </w:r>
        <w:r w:rsidR="00CA489E">
          <w:rPr>
            <w:noProof/>
            <w:webHidden/>
          </w:rPr>
          <w:tab/>
        </w:r>
        <w:r>
          <w:rPr>
            <w:noProof/>
            <w:webHidden/>
          </w:rPr>
          <w:fldChar w:fldCharType="begin"/>
        </w:r>
        <w:r w:rsidR="00CA489E">
          <w:rPr>
            <w:noProof/>
            <w:webHidden/>
          </w:rPr>
          <w:instrText xml:space="preserve"> PAGEREF _Toc293416715 \h </w:instrText>
        </w:r>
        <w:r>
          <w:rPr>
            <w:noProof/>
            <w:webHidden/>
          </w:rPr>
        </w:r>
        <w:r>
          <w:rPr>
            <w:noProof/>
            <w:webHidden/>
          </w:rPr>
          <w:fldChar w:fldCharType="separate"/>
        </w:r>
        <w:r w:rsidR="00CA489E">
          <w:rPr>
            <w:noProof/>
            <w:webHidden/>
          </w:rPr>
          <w:t>18</w:t>
        </w:r>
        <w:r>
          <w:rPr>
            <w:noProof/>
            <w:webHidden/>
          </w:rPr>
          <w:fldChar w:fldCharType="end"/>
        </w:r>
      </w:hyperlink>
    </w:p>
    <w:p w:rsidR="00CA489E" w:rsidRDefault="00822AF7">
      <w:pPr>
        <w:pStyle w:val="TDC2"/>
        <w:rPr>
          <w:rFonts w:ascii="Calibri" w:hAnsi="Calibri"/>
          <w:bCs w:val="0"/>
          <w:noProof/>
          <w:lang w:val="es-ES" w:eastAsia="es-ES"/>
        </w:rPr>
      </w:pPr>
      <w:hyperlink w:anchor="_Toc293416716" w:history="1">
        <w:r w:rsidR="00CA489E" w:rsidRPr="00D802E8">
          <w:rPr>
            <w:rStyle w:val="Hipervnculo"/>
            <w:noProof/>
          </w:rPr>
          <w:t>2.3</w:t>
        </w:r>
        <w:r w:rsidR="00CA489E">
          <w:rPr>
            <w:rFonts w:ascii="Calibri" w:hAnsi="Calibri"/>
            <w:bCs w:val="0"/>
            <w:noProof/>
            <w:lang w:val="es-ES" w:eastAsia="es-ES"/>
          </w:rPr>
          <w:tab/>
        </w:r>
        <w:r w:rsidR="00CA489E" w:rsidRPr="00D802E8">
          <w:rPr>
            <w:rStyle w:val="Hipervnculo"/>
            <w:noProof/>
          </w:rPr>
          <w:t>Priority III. Transparency</w:t>
        </w:r>
        <w:r w:rsidR="00CA489E">
          <w:rPr>
            <w:noProof/>
            <w:webHidden/>
          </w:rPr>
          <w:tab/>
        </w:r>
        <w:r>
          <w:rPr>
            <w:noProof/>
            <w:webHidden/>
          </w:rPr>
          <w:fldChar w:fldCharType="begin"/>
        </w:r>
        <w:r w:rsidR="00CA489E">
          <w:rPr>
            <w:noProof/>
            <w:webHidden/>
          </w:rPr>
          <w:instrText xml:space="preserve"> PAGEREF _Toc293416716 \h </w:instrText>
        </w:r>
        <w:r>
          <w:rPr>
            <w:noProof/>
            <w:webHidden/>
          </w:rPr>
        </w:r>
        <w:r>
          <w:rPr>
            <w:noProof/>
            <w:webHidden/>
          </w:rPr>
          <w:fldChar w:fldCharType="separate"/>
        </w:r>
        <w:r w:rsidR="00CA489E">
          <w:rPr>
            <w:noProof/>
            <w:webHidden/>
          </w:rPr>
          <w:t>20</w:t>
        </w:r>
        <w:r>
          <w:rPr>
            <w:noProof/>
            <w:webHidden/>
          </w:rPr>
          <w:fldChar w:fldCharType="end"/>
        </w:r>
      </w:hyperlink>
    </w:p>
    <w:p w:rsidR="00CA489E" w:rsidRDefault="00822AF7">
      <w:pPr>
        <w:pStyle w:val="TDC3"/>
        <w:rPr>
          <w:rFonts w:ascii="Calibri" w:hAnsi="Calibri"/>
          <w:noProof/>
          <w:szCs w:val="22"/>
          <w:lang w:val="es-ES" w:eastAsia="es-ES"/>
        </w:rPr>
      </w:pPr>
      <w:hyperlink w:anchor="_Toc293416717" w:history="1">
        <w:r w:rsidR="00CA489E" w:rsidRPr="00D802E8">
          <w:rPr>
            <w:rStyle w:val="Hipervnculo"/>
            <w:noProof/>
          </w:rPr>
          <w:t>2.3.1</w:t>
        </w:r>
        <w:r w:rsidR="00CA489E">
          <w:rPr>
            <w:rFonts w:ascii="Calibri" w:hAnsi="Calibri"/>
            <w:noProof/>
            <w:szCs w:val="22"/>
            <w:lang w:val="es-ES" w:eastAsia="es-ES"/>
          </w:rPr>
          <w:tab/>
        </w:r>
        <w:r w:rsidR="00CA489E" w:rsidRPr="00D802E8">
          <w:rPr>
            <w:rStyle w:val="Hipervnculo"/>
            <w:noProof/>
          </w:rPr>
          <w:t>Deliverable III.1: Regional transparency report assessing compliance with new transparency requirements</w:t>
        </w:r>
        <w:r w:rsidR="00CA489E">
          <w:rPr>
            <w:noProof/>
            <w:webHidden/>
          </w:rPr>
          <w:tab/>
        </w:r>
        <w:r>
          <w:rPr>
            <w:noProof/>
            <w:webHidden/>
          </w:rPr>
          <w:fldChar w:fldCharType="begin"/>
        </w:r>
        <w:r w:rsidR="00CA489E">
          <w:rPr>
            <w:noProof/>
            <w:webHidden/>
          </w:rPr>
          <w:instrText xml:space="preserve"> PAGEREF _Toc293416717 \h </w:instrText>
        </w:r>
        <w:r>
          <w:rPr>
            <w:noProof/>
            <w:webHidden/>
          </w:rPr>
        </w:r>
        <w:r>
          <w:rPr>
            <w:noProof/>
            <w:webHidden/>
          </w:rPr>
          <w:fldChar w:fldCharType="separate"/>
        </w:r>
        <w:r w:rsidR="00CA489E">
          <w:rPr>
            <w:noProof/>
            <w:webHidden/>
          </w:rPr>
          <w:t>21</w:t>
        </w:r>
        <w:r>
          <w:rPr>
            <w:noProof/>
            <w:webHidden/>
          </w:rPr>
          <w:fldChar w:fldCharType="end"/>
        </w:r>
      </w:hyperlink>
    </w:p>
    <w:p w:rsidR="00CA489E" w:rsidRDefault="00822AF7">
      <w:pPr>
        <w:pStyle w:val="TDC2"/>
        <w:rPr>
          <w:rFonts w:ascii="Calibri" w:hAnsi="Calibri"/>
          <w:bCs w:val="0"/>
          <w:noProof/>
          <w:lang w:val="es-ES" w:eastAsia="es-ES"/>
        </w:rPr>
      </w:pPr>
      <w:hyperlink w:anchor="_Toc293416718" w:history="1">
        <w:r w:rsidR="00CA489E" w:rsidRPr="00D802E8">
          <w:rPr>
            <w:rStyle w:val="Hipervnculo"/>
            <w:noProof/>
          </w:rPr>
          <w:t>2.4</w:t>
        </w:r>
        <w:r w:rsidR="00CA489E">
          <w:rPr>
            <w:rFonts w:ascii="Calibri" w:hAnsi="Calibri"/>
            <w:bCs w:val="0"/>
            <w:noProof/>
            <w:lang w:val="es-ES" w:eastAsia="es-ES"/>
          </w:rPr>
          <w:tab/>
        </w:r>
        <w:r w:rsidR="00CA489E" w:rsidRPr="00D802E8">
          <w:rPr>
            <w:rStyle w:val="Hipervnculo"/>
            <w:noProof/>
          </w:rPr>
          <w:t>Priority IV. Regional report on the management and use of interconnections</w:t>
        </w:r>
        <w:r w:rsidR="00CA489E">
          <w:rPr>
            <w:noProof/>
            <w:webHidden/>
          </w:rPr>
          <w:tab/>
        </w:r>
        <w:r>
          <w:rPr>
            <w:noProof/>
            <w:webHidden/>
          </w:rPr>
          <w:fldChar w:fldCharType="begin"/>
        </w:r>
        <w:r w:rsidR="00CA489E">
          <w:rPr>
            <w:noProof/>
            <w:webHidden/>
          </w:rPr>
          <w:instrText xml:space="preserve"> PAGEREF _Toc293416718 \h </w:instrText>
        </w:r>
        <w:r>
          <w:rPr>
            <w:noProof/>
            <w:webHidden/>
          </w:rPr>
        </w:r>
        <w:r>
          <w:rPr>
            <w:noProof/>
            <w:webHidden/>
          </w:rPr>
          <w:fldChar w:fldCharType="separate"/>
        </w:r>
        <w:r w:rsidR="00CA489E">
          <w:rPr>
            <w:noProof/>
            <w:webHidden/>
          </w:rPr>
          <w:t>22</w:t>
        </w:r>
        <w:r>
          <w:rPr>
            <w:noProof/>
            <w:webHidden/>
          </w:rPr>
          <w:fldChar w:fldCharType="end"/>
        </w:r>
      </w:hyperlink>
    </w:p>
    <w:p w:rsidR="00CA489E" w:rsidRDefault="00822AF7">
      <w:pPr>
        <w:pStyle w:val="TDC3"/>
        <w:rPr>
          <w:rFonts w:ascii="Calibri" w:hAnsi="Calibri"/>
          <w:noProof/>
          <w:szCs w:val="22"/>
          <w:lang w:val="es-ES" w:eastAsia="es-ES"/>
        </w:rPr>
      </w:pPr>
      <w:hyperlink w:anchor="_Toc293416719" w:history="1">
        <w:r w:rsidR="00CA489E" w:rsidRPr="00D802E8">
          <w:rPr>
            <w:rStyle w:val="Hipervnculo"/>
            <w:noProof/>
          </w:rPr>
          <w:t>2.4.1</w:t>
        </w:r>
        <w:r w:rsidR="00CA489E">
          <w:rPr>
            <w:rFonts w:ascii="Calibri" w:hAnsi="Calibri"/>
            <w:noProof/>
            <w:szCs w:val="22"/>
            <w:lang w:val="es-ES" w:eastAsia="es-ES"/>
          </w:rPr>
          <w:tab/>
        </w:r>
        <w:r w:rsidR="00CA489E" w:rsidRPr="00D802E8">
          <w:rPr>
            <w:rStyle w:val="Hipervnculo"/>
            <w:noProof/>
          </w:rPr>
          <w:t>Deliverable IV.1. Regional report on the management and use of interconnections</w:t>
        </w:r>
        <w:r w:rsidR="00CA489E">
          <w:rPr>
            <w:noProof/>
            <w:webHidden/>
          </w:rPr>
          <w:tab/>
        </w:r>
        <w:r>
          <w:rPr>
            <w:noProof/>
            <w:webHidden/>
          </w:rPr>
          <w:fldChar w:fldCharType="begin"/>
        </w:r>
        <w:r w:rsidR="00CA489E">
          <w:rPr>
            <w:noProof/>
            <w:webHidden/>
          </w:rPr>
          <w:instrText xml:space="preserve"> PAGEREF _Toc293416719 \h </w:instrText>
        </w:r>
        <w:r>
          <w:rPr>
            <w:noProof/>
            <w:webHidden/>
          </w:rPr>
        </w:r>
        <w:r>
          <w:rPr>
            <w:noProof/>
            <w:webHidden/>
          </w:rPr>
          <w:fldChar w:fldCharType="separate"/>
        </w:r>
        <w:r w:rsidR="00CA489E">
          <w:rPr>
            <w:noProof/>
            <w:webHidden/>
          </w:rPr>
          <w:t>22</w:t>
        </w:r>
        <w:r>
          <w:rPr>
            <w:noProof/>
            <w:webHidden/>
          </w:rPr>
          <w:fldChar w:fldCharType="end"/>
        </w:r>
      </w:hyperlink>
    </w:p>
    <w:p w:rsidR="00CA489E" w:rsidRDefault="00822AF7" w:rsidP="00152E10">
      <w:pPr>
        <w:rPr>
          <w:lang w:val="es-ES"/>
        </w:rPr>
      </w:pPr>
      <w:r>
        <w:fldChar w:fldCharType="end"/>
      </w:r>
    </w:p>
    <w:p w:rsidR="00CA489E" w:rsidRDefault="00CA489E">
      <w:pPr>
        <w:pStyle w:val="Head3"/>
        <w:jc w:val="center"/>
        <w:rPr>
          <w:lang w:val="es-ES"/>
        </w:rPr>
      </w:pPr>
    </w:p>
    <w:p w:rsidR="00CA489E" w:rsidRDefault="00CA489E">
      <w:pPr>
        <w:keepLines w:val="0"/>
        <w:jc w:val="left"/>
        <w:rPr>
          <w:rFonts w:cs="Arial"/>
          <w:b/>
          <w:noProof/>
          <w:sz w:val="28"/>
          <w:szCs w:val="28"/>
          <w:lang w:val="es-ES"/>
        </w:rPr>
      </w:pPr>
      <w:r>
        <w:rPr>
          <w:lang w:val="es-ES"/>
        </w:rPr>
        <w:br w:type="page"/>
      </w:r>
    </w:p>
    <w:p w:rsidR="00CA489E" w:rsidRDefault="00CA489E">
      <w:pPr>
        <w:pStyle w:val="Head3"/>
        <w:jc w:val="center"/>
        <w:rPr>
          <w:lang w:val="es-ES"/>
        </w:rPr>
      </w:pPr>
    </w:p>
    <w:p w:rsidR="00CA489E" w:rsidRDefault="00CA489E">
      <w:pPr>
        <w:pStyle w:val="Head3"/>
        <w:jc w:val="center"/>
        <w:rPr>
          <w:lang w:val="es-ES"/>
        </w:rPr>
      </w:pPr>
      <w:r>
        <w:rPr>
          <w:lang w:val="es-ES"/>
        </w:rPr>
        <w:t>Timetables</w:t>
      </w:r>
    </w:p>
    <w:p w:rsidR="00CA489E" w:rsidRDefault="00CA489E">
      <w:pPr>
        <w:pStyle w:val="Text"/>
        <w:rPr>
          <w:lang w:val="es-ES"/>
        </w:rPr>
      </w:pPr>
    </w:p>
    <w:p w:rsidR="00CA489E" w:rsidRDefault="00822AF7">
      <w:pPr>
        <w:pStyle w:val="Tabladeilustraciones"/>
        <w:tabs>
          <w:tab w:val="right" w:leader="dot" w:pos="9060"/>
        </w:tabs>
        <w:rPr>
          <w:rFonts w:ascii="Calibri" w:hAnsi="Calibri"/>
          <w:bCs w:val="0"/>
          <w:noProof/>
          <w:szCs w:val="22"/>
          <w:lang w:val="es-ES" w:eastAsia="es-ES"/>
        </w:rPr>
      </w:pPr>
      <w:r w:rsidRPr="00822AF7">
        <w:fldChar w:fldCharType="begin"/>
      </w:r>
      <w:r w:rsidR="00CA489E">
        <w:instrText xml:space="preserve"> TOC \h \z \t "table01" \c </w:instrText>
      </w:r>
      <w:r w:rsidRPr="00822AF7">
        <w:fldChar w:fldCharType="separate"/>
      </w:r>
      <w:hyperlink w:anchor="_Toc294259443" w:history="1">
        <w:r w:rsidR="00CA489E" w:rsidRPr="005C4C43">
          <w:rPr>
            <w:rStyle w:val="Hipervnculo"/>
            <w:noProof/>
          </w:rPr>
          <w:t>DELIVERABLE I.1 Long term</w:t>
        </w:r>
        <w:r w:rsidR="00CA489E">
          <w:rPr>
            <w:noProof/>
            <w:webHidden/>
          </w:rPr>
          <w:tab/>
        </w:r>
        <w:r>
          <w:rPr>
            <w:noProof/>
            <w:webHidden/>
          </w:rPr>
          <w:fldChar w:fldCharType="begin"/>
        </w:r>
        <w:r w:rsidR="00CA489E">
          <w:rPr>
            <w:noProof/>
            <w:webHidden/>
          </w:rPr>
          <w:instrText xml:space="preserve"> PAGEREF _Toc294259443 \h </w:instrText>
        </w:r>
        <w:r>
          <w:rPr>
            <w:noProof/>
            <w:webHidden/>
          </w:rPr>
        </w:r>
        <w:r>
          <w:rPr>
            <w:noProof/>
            <w:webHidden/>
          </w:rPr>
          <w:fldChar w:fldCharType="separate"/>
        </w:r>
        <w:r w:rsidR="00CA489E">
          <w:rPr>
            <w:noProof/>
            <w:webHidden/>
          </w:rPr>
          <w:t>10</w:t>
        </w:r>
        <w:r>
          <w:rPr>
            <w:noProof/>
            <w:webHidden/>
          </w:rPr>
          <w:fldChar w:fldCharType="end"/>
        </w:r>
      </w:hyperlink>
    </w:p>
    <w:p w:rsidR="00CA489E" w:rsidRDefault="00822AF7">
      <w:pPr>
        <w:pStyle w:val="Tabladeilustraciones"/>
        <w:tabs>
          <w:tab w:val="right" w:leader="dot" w:pos="9060"/>
        </w:tabs>
        <w:rPr>
          <w:rFonts w:ascii="Calibri" w:hAnsi="Calibri"/>
          <w:bCs w:val="0"/>
          <w:noProof/>
          <w:szCs w:val="22"/>
          <w:lang w:val="es-ES" w:eastAsia="es-ES"/>
        </w:rPr>
      </w:pPr>
      <w:hyperlink w:anchor="_Toc294259444" w:history="1">
        <w:r w:rsidR="00CA489E" w:rsidRPr="005C4C43">
          <w:rPr>
            <w:rStyle w:val="Hipervnculo"/>
            <w:noProof/>
          </w:rPr>
          <w:t>DELIVERABLE I.2 Day-ahead: Single European price market coupling</w:t>
        </w:r>
        <w:r w:rsidR="00CA489E">
          <w:rPr>
            <w:noProof/>
            <w:webHidden/>
          </w:rPr>
          <w:tab/>
        </w:r>
        <w:r>
          <w:rPr>
            <w:noProof/>
            <w:webHidden/>
          </w:rPr>
          <w:fldChar w:fldCharType="begin"/>
        </w:r>
        <w:r w:rsidR="00CA489E">
          <w:rPr>
            <w:noProof/>
            <w:webHidden/>
          </w:rPr>
          <w:instrText xml:space="preserve"> PAGEREF _Toc294259444 \h </w:instrText>
        </w:r>
        <w:r>
          <w:rPr>
            <w:noProof/>
            <w:webHidden/>
          </w:rPr>
        </w:r>
        <w:r>
          <w:rPr>
            <w:noProof/>
            <w:webHidden/>
          </w:rPr>
          <w:fldChar w:fldCharType="separate"/>
        </w:r>
        <w:r w:rsidR="00CA489E">
          <w:rPr>
            <w:noProof/>
            <w:webHidden/>
          </w:rPr>
          <w:t>11</w:t>
        </w:r>
        <w:r>
          <w:rPr>
            <w:noProof/>
            <w:webHidden/>
          </w:rPr>
          <w:fldChar w:fldCharType="end"/>
        </w:r>
      </w:hyperlink>
    </w:p>
    <w:p w:rsidR="00CA489E" w:rsidRDefault="00822AF7">
      <w:pPr>
        <w:pStyle w:val="Tabladeilustraciones"/>
        <w:tabs>
          <w:tab w:val="right" w:leader="dot" w:pos="9060"/>
        </w:tabs>
        <w:rPr>
          <w:rFonts w:ascii="Calibri" w:hAnsi="Calibri"/>
          <w:bCs w:val="0"/>
          <w:noProof/>
          <w:szCs w:val="22"/>
          <w:lang w:val="es-ES" w:eastAsia="es-ES"/>
        </w:rPr>
      </w:pPr>
      <w:hyperlink w:anchor="_Toc294259445" w:history="1">
        <w:r w:rsidR="00CA489E" w:rsidRPr="005C4C43">
          <w:rPr>
            <w:rStyle w:val="Hipervnculo"/>
            <w:noProof/>
          </w:rPr>
          <w:t>DELIVERABLE I.3 Intraday</w:t>
        </w:r>
        <w:r w:rsidR="00CA489E">
          <w:rPr>
            <w:noProof/>
            <w:webHidden/>
          </w:rPr>
          <w:tab/>
        </w:r>
        <w:r>
          <w:rPr>
            <w:noProof/>
            <w:webHidden/>
          </w:rPr>
          <w:fldChar w:fldCharType="begin"/>
        </w:r>
        <w:r w:rsidR="00CA489E">
          <w:rPr>
            <w:noProof/>
            <w:webHidden/>
          </w:rPr>
          <w:instrText xml:space="preserve"> PAGEREF _Toc294259445 \h </w:instrText>
        </w:r>
        <w:r>
          <w:rPr>
            <w:noProof/>
            <w:webHidden/>
          </w:rPr>
        </w:r>
        <w:r>
          <w:rPr>
            <w:noProof/>
            <w:webHidden/>
          </w:rPr>
          <w:fldChar w:fldCharType="separate"/>
        </w:r>
        <w:r w:rsidR="00CA489E">
          <w:rPr>
            <w:noProof/>
            <w:webHidden/>
          </w:rPr>
          <w:t>14</w:t>
        </w:r>
        <w:r>
          <w:rPr>
            <w:noProof/>
            <w:webHidden/>
          </w:rPr>
          <w:fldChar w:fldCharType="end"/>
        </w:r>
      </w:hyperlink>
    </w:p>
    <w:p w:rsidR="00CA489E" w:rsidRDefault="00822AF7">
      <w:pPr>
        <w:pStyle w:val="Tabladeilustraciones"/>
        <w:tabs>
          <w:tab w:val="right" w:leader="dot" w:pos="9060"/>
        </w:tabs>
        <w:rPr>
          <w:rFonts w:ascii="Calibri" w:hAnsi="Calibri"/>
          <w:bCs w:val="0"/>
          <w:noProof/>
          <w:szCs w:val="22"/>
          <w:lang w:val="es-ES" w:eastAsia="es-ES"/>
        </w:rPr>
      </w:pPr>
      <w:hyperlink w:anchor="_Toc294259446" w:history="1">
        <w:r w:rsidR="00CA489E" w:rsidRPr="005C4C43">
          <w:rPr>
            <w:rStyle w:val="Hipervnculo"/>
            <w:noProof/>
          </w:rPr>
          <w:t>DELIVERABLE I.4 Cross-border balancing among TSOs</w:t>
        </w:r>
        <w:r w:rsidR="00CA489E">
          <w:rPr>
            <w:noProof/>
            <w:webHidden/>
          </w:rPr>
          <w:tab/>
        </w:r>
        <w:r>
          <w:rPr>
            <w:noProof/>
            <w:webHidden/>
          </w:rPr>
          <w:fldChar w:fldCharType="begin"/>
        </w:r>
        <w:r w:rsidR="00CA489E">
          <w:rPr>
            <w:noProof/>
            <w:webHidden/>
          </w:rPr>
          <w:instrText xml:space="preserve"> PAGEREF _Toc294259446 \h </w:instrText>
        </w:r>
        <w:r>
          <w:rPr>
            <w:noProof/>
            <w:webHidden/>
          </w:rPr>
        </w:r>
        <w:r>
          <w:rPr>
            <w:noProof/>
            <w:webHidden/>
          </w:rPr>
          <w:fldChar w:fldCharType="separate"/>
        </w:r>
        <w:r w:rsidR="00CA489E">
          <w:rPr>
            <w:noProof/>
            <w:webHidden/>
          </w:rPr>
          <w:t>16</w:t>
        </w:r>
        <w:r>
          <w:rPr>
            <w:noProof/>
            <w:webHidden/>
          </w:rPr>
          <w:fldChar w:fldCharType="end"/>
        </w:r>
      </w:hyperlink>
    </w:p>
    <w:p w:rsidR="00CA489E" w:rsidRDefault="00822AF7">
      <w:pPr>
        <w:pStyle w:val="Tabladeilustraciones"/>
        <w:tabs>
          <w:tab w:val="right" w:leader="dot" w:pos="9060"/>
        </w:tabs>
        <w:rPr>
          <w:rFonts w:ascii="Calibri" w:hAnsi="Calibri"/>
          <w:bCs w:val="0"/>
          <w:noProof/>
          <w:szCs w:val="22"/>
          <w:lang w:val="es-ES" w:eastAsia="es-ES"/>
        </w:rPr>
      </w:pPr>
      <w:hyperlink w:anchor="_Toc294259447" w:history="1">
        <w:r w:rsidR="00CA489E" w:rsidRPr="005C4C43">
          <w:rPr>
            <w:rStyle w:val="Hipervnculo"/>
            <w:noProof/>
          </w:rPr>
          <w:t>DELIVERABLE II.1. Regional investment plan</w:t>
        </w:r>
        <w:r w:rsidR="00CA489E">
          <w:rPr>
            <w:noProof/>
            <w:webHidden/>
          </w:rPr>
          <w:tab/>
        </w:r>
        <w:r>
          <w:rPr>
            <w:noProof/>
            <w:webHidden/>
          </w:rPr>
          <w:fldChar w:fldCharType="begin"/>
        </w:r>
        <w:r w:rsidR="00CA489E">
          <w:rPr>
            <w:noProof/>
            <w:webHidden/>
          </w:rPr>
          <w:instrText xml:space="preserve"> PAGEREF _Toc294259447 \h </w:instrText>
        </w:r>
        <w:r>
          <w:rPr>
            <w:noProof/>
            <w:webHidden/>
          </w:rPr>
        </w:r>
        <w:r>
          <w:rPr>
            <w:noProof/>
            <w:webHidden/>
          </w:rPr>
          <w:fldChar w:fldCharType="separate"/>
        </w:r>
        <w:r w:rsidR="00CA489E">
          <w:rPr>
            <w:noProof/>
            <w:webHidden/>
          </w:rPr>
          <w:t>18</w:t>
        </w:r>
        <w:r>
          <w:rPr>
            <w:noProof/>
            <w:webHidden/>
          </w:rPr>
          <w:fldChar w:fldCharType="end"/>
        </w:r>
      </w:hyperlink>
    </w:p>
    <w:p w:rsidR="00CA489E" w:rsidRDefault="00822AF7">
      <w:pPr>
        <w:pStyle w:val="Tabladeilustraciones"/>
        <w:tabs>
          <w:tab w:val="right" w:leader="dot" w:pos="9060"/>
        </w:tabs>
        <w:rPr>
          <w:rFonts w:ascii="Calibri" w:hAnsi="Calibri"/>
          <w:bCs w:val="0"/>
          <w:noProof/>
          <w:szCs w:val="22"/>
          <w:lang w:val="es-ES" w:eastAsia="es-ES"/>
        </w:rPr>
      </w:pPr>
      <w:hyperlink w:anchor="_Toc294259448" w:history="1">
        <w:r w:rsidR="00CA489E" w:rsidRPr="005C4C43">
          <w:rPr>
            <w:rStyle w:val="Hipervnculo"/>
            <w:noProof/>
          </w:rPr>
          <w:t>DELIVERABLE II.2. Analysis of concrete interconnection projects</w:t>
        </w:r>
        <w:r w:rsidR="00CA489E">
          <w:rPr>
            <w:noProof/>
            <w:webHidden/>
          </w:rPr>
          <w:tab/>
        </w:r>
        <w:r>
          <w:rPr>
            <w:noProof/>
            <w:webHidden/>
          </w:rPr>
          <w:fldChar w:fldCharType="begin"/>
        </w:r>
        <w:r w:rsidR="00CA489E">
          <w:rPr>
            <w:noProof/>
            <w:webHidden/>
          </w:rPr>
          <w:instrText xml:space="preserve"> PAGEREF _Toc294259448 \h </w:instrText>
        </w:r>
        <w:r>
          <w:rPr>
            <w:noProof/>
            <w:webHidden/>
          </w:rPr>
        </w:r>
        <w:r>
          <w:rPr>
            <w:noProof/>
            <w:webHidden/>
          </w:rPr>
          <w:fldChar w:fldCharType="separate"/>
        </w:r>
        <w:r w:rsidR="00CA489E">
          <w:rPr>
            <w:noProof/>
            <w:webHidden/>
          </w:rPr>
          <w:t>20</w:t>
        </w:r>
        <w:r>
          <w:rPr>
            <w:noProof/>
            <w:webHidden/>
          </w:rPr>
          <w:fldChar w:fldCharType="end"/>
        </w:r>
      </w:hyperlink>
    </w:p>
    <w:p w:rsidR="00CA489E" w:rsidRDefault="00822AF7">
      <w:pPr>
        <w:pStyle w:val="Tabladeilustraciones"/>
        <w:tabs>
          <w:tab w:val="right" w:leader="dot" w:pos="9060"/>
        </w:tabs>
        <w:rPr>
          <w:rFonts w:ascii="Calibri" w:hAnsi="Calibri"/>
          <w:bCs w:val="0"/>
          <w:noProof/>
          <w:szCs w:val="22"/>
          <w:lang w:val="es-ES" w:eastAsia="es-ES"/>
        </w:rPr>
      </w:pPr>
      <w:hyperlink w:anchor="_Toc294259449" w:history="1">
        <w:r w:rsidR="00CA489E" w:rsidRPr="005C4C43">
          <w:rPr>
            <w:rStyle w:val="Hipervnculo"/>
            <w:noProof/>
          </w:rPr>
          <w:t>DELIVERABLE III.1. Regional transparency report assessing compliance with new transparency requirements</w:t>
        </w:r>
        <w:r w:rsidR="00CA489E">
          <w:rPr>
            <w:noProof/>
            <w:webHidden/>
          </w:rPr>
          <w:tab/>
        </w:r>
        <w:r>
          <w:rPr>
            <w:noProof/>
            <w:webHidden/>
          </w:rPr>
          <w:fldChar w:fldCharType="begin"/>
        </w:r>
        <w:r w:rsidR="00CA489E">
          <w:rPr>
            <w:noProof/>
            <w:webHidden/>
          </w:rPr>
          <w:instrText xml:space="preserve"> PAGEREF _Toc294259449 \h </w:instrText>
        </w:r>
        <w:r>
          <w:rPr>
            <w:noProof/>
            <w:webHidden/>
          </w:rPr>
        </w:r>
        <w:r>
          <w:rPr>
            <w:noProof/>
            <w:webHidden/>
          </w:rPr>
          <w:fldChar w:fldCharType="separate"/>
        </w:r>
        <w:r w:rsidR="00CA489E">
          <w:rPr>
            <w:noProof/>
            <w:webHidden/>
          </w:rPr>
          <w:t>22</w:t>
        </w:r>
        <w:r>
          <w:rPr>
            <w:noProof/>
            <w:webHidden/>
          </w:rPr>
          <w:fldChar w:fldCharType="end"/>
        </w:r>
      </w:hyperlink>
    </w:p>
    <w:p w:rsidR="00CA489E" w:rsidRDefault="00822AF7">
      <w:pPr>
        <w:pStyle w:val="Tabladeilustraciones"/>
        <w:tabs>
          <w:tab w:val="right" w:leader="dot" w:pos="9060"/>
        </w:tabs>
        <w:rPr>
          <w:rFonts w:ascii="Calibri" w:hAnsi="Calibri"/>
          <w:bCs w:val="0"/>
          <w:noProof/>
          <w:szCs w:val="22"/>
          <w:lang w:val="es-ES" w:eastAsia="es-ES"/>
        </w:rPr>
      </w:pPr>
      <w:hyperlink w:anchor="_Toc294259450" w:history="1">
        <w:r w:rsidR="00CA489E" w:rsidRPr="005C4C43">
          <w:rPr>
            <w:rStyle w:val="Hipervnculo"/>
            <w:noProof/>
          </w:rPr>
          <w:t>DELIVERABLE IV.1. Regional report on the management and use of interconnections</w:t>
        </w:r>
        <w:r w:rsidR="00CA489E">
          <w:rPr>
            <w:noProof/>
            <w:webHidden/>
          </w:rPr>
          <w:tab/>
        </w:r>
        <w:r>
          <w:rPr>
            <w:noProof/>
            <w:webHidden/>
          </w:rPr>
          <w:fldChar w:fldCharType="begin"/>
        </w:r>
        <w:r w:rsidR="00CA489E">
          <w:rPr>
            <w:noProof/>
            <w:webHidden/>
          </w:rPr>
          <w:instrText xml:space="preserve"> PAGEREF _Toc294259450 \h </w:instrText>
        </w:r>
        <w:r>
          <w:rPr>
            <w:noProof/>
            <w:webHidden/>
          </w:rPr>
        </w:r>
        <w:r>
          <w:rPr>
            <w:noProof/>
            <w:webHidden/>
          </w:rPr>
          <w:fldChar w:fldCharType="separate"/>
        </w:r>
        <w:r w:rsidR="00CA489E">
          <w:rPr>
            <w:noProof/>
            <w:webHidden/>
          </w:rPr>
          <w:t>23</w:t>
        </w:r>
        <w:r>
          <w:rPr>
            <w:noProof/>
            <w:webHidden/>
          </w:rPr>
          <w:fldChar w:fldCharType="end"/>
        </w:r>
      </w:hyperlink>
    </w:p>
    <w:p w:rsidR="00CA489E" w:rsidRDefault="00822AF7">
      <w:pPr>
        <w:pStyle w:val="Text"/>
      </w:pPr>
      <w:r>
        <w:fldChar w:fldCharType="end"/>
      </w:r>
    </w:p>
    <w:p w:rsidR="00CA489E" w:rsidRPr="00152E10" w:rsidRDefault="00CA489E" w:rsidP="00152E10">
      <w:pPr>
        <w:pStyle w:val="Ttulo1"/>
      </w:pPr>
      <w:r>
        <w:br w:type="page"/>
      </w:r>
      <w:bookmarkStart w:id="0" w:name="_Toc293416705"/>
      <w:r w:rsidRPr="00152E10">
        <w:lastRenderedPageBreak/>
        <w:t>Introduction</w:t>
      </w:r>
      <w:bookmarkEnd w:id="0"/>
    </w:p>
    <w:p w:rsidR="00CA489E" w:rsidRDefault="00CA489E"/>
    <w:p w:rsidR="00CA489E" w:rsidRPr="00B15FD2" w:rsidRDefault="00CA489E" w:rsidP="00811AF1">
      <w:r w:rsidRPr="00B15FD2">
        <w:t xml:space="preserve">The SW region of the ERI comprises </w:t>
      </w:r>
      <w:smartTag w:uri="urn:schemas-microsoft-com:office:smarttags" w:element="country-region">
        <w:r w:rsidRPr="00B15FD2">
          <w:t>Portugal</w:t>
        </w:r>
      </w:smartTag>
      <w:r w:rsidRPr="00B15FD2">
        <w:t xml:space="preserve">, </w:t>
      </w:r>
      <w:smartTag w:uri="urn:schemas-microsoft-com:office:smarttags" w:element="country-region">
        <w:r w:rsidRPr="00B15FD2">
          <w:t>France</w:t>
        </w:r>
      </w:smartTag>
      <w:r w:rsidRPr="00B15FD2">
        <w:t xml:space="preserve"> and </w:t>
      </w:r>
      <w:smartTag w:uri="urn:schemas-microsoft-com:office:smarttags" w:element="country-region">
        <w:smartTag w:uri="urn:schemas-microsoft-com:office:smarttags" w:element="place">
          <w:r w:rsidRPr="00B15FD2">
            <w:t>Spain</w:t>
          </w:r>
        </w:smartTag>
      </w:smartTag>
      <w:r w:rsidRPr="00B15FD2">
        <w:t xml:space="preserve"> and is led by the Spanish National Regulatory Authority (CNE).</w:t>
      </w:r>
    </w:p>
    <w:p w:rsidR="00CA489E" w:rsidRDefault="00CA489E" w:rsidP="00811AF1"/>
    <w:p w:rsidR="00CA489E" w:rsidRDefault="00CA489E" w:rsidP="00362442">
      <w:r>
        <w:t xml:space="preserve">The SW region launched its work in 2007. The first Action Plan of the region covered the period 2007-2009. After that, a new Action Plan 2010-2012 was agreed and published in April 2010. </w:t>
      </w:r>
      <w:r w:rsidRPr="00362442">
        <w:t>At that stage, the timing of several deliverabl</w:t>
      </w:r>
      <w:r>
        <w:t xml:space="preserve">es could not be detailed due to several reasons. In February 2011, </w:t>
      </w:r>
      <w:r w:rsidRPr="00362442">
        <w:t xml:space="preserve">the timetables of </w:t>
      </w:r>
      <w:r>
        <w:t xml:space="preserve">those </w:t>
      </w:r>
      <w:r w:rsidRPr="00362442">
        <w:t xml:space="preserve">deliverables </w:t>
      </w:r>
      <w:r>
        <w:t>were defined and updated.</w:t>
      </w:r>
    </w:p>
    <w:p w:rsidR="00CA489E" w:rsidRDefault="00CA489E" w:rsidP="007909EB"/>
    <w:p w:rsidR="00CA489E" w:rsidRDefault="00CA489E" w:rsidP="007909EB">
      <w:r>
        <w:t>According to the conclusions of the European Council of 4</w:t>
      </w:r>
      <w:r w:rsidRPr="007011AB">
        <w:rPr>
          <w:vertAlign w:val="superscript"/>
        </w:rPr>
        <w:t>th</w:t>
      </w:r>
      <w:r>
        <w:t xml:space="preserve"> February 2011, the internal energy market should be completed by 2014. For this purpose, the EC requested to elaborate a “European Energy Work Plan 2011-2014” by the end of June for each region and to address it jointly to the EC (DG ENER) and to ACER. In this context, ACER support</w:t>
      </w:r>
      <w:r w:rsidR="00D9153F">
        <w:t>s</w:t>
      </w:r>
      <w:r>
        <w:t xml:space="preserve"> and coordinate</w:t>
      </w:r>
      <w:r w:rsidR="00D9153F">
        <w:t>s</w:t>
      </w:r>
      <w:r>
        <w:t xml:space="preserve"> NRAs and lead regulators in the development of this Work Plan, both for electricity and gas.</w:t>
      </w:r>
    </w:p>
    <w:p w:rsidR="00CA489E" w:rsidRDefault="00CA489E" w:rsidP="007909EB"/>
    <w:p w:rsidR="00CA489E" w:rsidRDefault="00CA489E">
      <w:r>
        <w:t>The mentioned SW Action Plan 2010-2012 has been extended until 2014 and adapted in order to answer to that request.</w:t>
      </w:r>
    </w:p>
    <w:p w:rsidR="00CA489E" w:rsidRDefault="00CA489E"/>
    <w:p w:rsidR="00CA489E" w:rsidRPr="007D7E1C" w:rsidRDefault="00CA489E" w:rsidP="007D7E1C">
      <w:pPr>
        <w:rPr>
          <w:lang w:val="en-US"/>
        </w:rPr>
      </w:pPr>
      <w:r w:rsidRPr="007D7E1C">
        <w:rPr>
          <w:lang w:val="en-US"/>
        </w:rPr>
        <w:t xml:space="preserve">ACER and the Electricity Regional Initiative coordination group have completed the elaboration of </w:t>
      </w:r>
      <w:r w:rsidR="00D9153F">
        <w:rPr>
          <w:lang w:val="en-US"/>
        </w:rPr>
        <w:t>the</w:t>
      </w:r>
      <w:r w:rsidRPr="007D7E1C">
        <w:rPr>
          <w:lang w:val="en-US"/>
        </w:rPr>
        <w:t xml:space="preserve"> European Energy </w:t>
      </w:r>
      <w:proofErr w:type="spellStart"/>
      <w:r w:rsidRPr="007D7E1C">
        <w:rPr>
          <w:lang w:val="en-US"/>
        </w:rPr>
        <w:t>Workplan</w:t>
      </w:r>
      <w:proofErr w:type="spellEnd"/>
      <w:r w:rsidRPr="007D7E1C">
        <w:rPr>
          <w:lang w:val="en-US"/>
        </w:rPr>
        <w:t xml:space="preserve"> 2011-2014. The European Energy </w:t>
      </w:r>
      <w:proofErr w:type="spellStart"/>
      <w:r w:rsidRPr="007D7E1C">
        <w:rPr>
          <w:lang w:val="en-US"/>
        </w:rPr>
        <w:t>Workplan</w:t>
      </w:r>
      <w:proofErr w:type="spellEnd"/>
      <w:r w:rsidRPr="007D7E1C">
        <w:rPr>
          <w:lang w:val="en-US"/>
        </w:rPr>
        <w:t xml:space="preserve"> consists of four cross-regional action plans which identify milestones and responsibilities for implementation of a common European approach to cross-border electricity trading by 2014. </w:t>
      </w:r>
    </w:p>
    <w:p w:rsidR="00CA489E" w:rsidRPr="007D7E1C" w:rsidRDefault="00CA489E" w:rsidP="007D7E1C">
      <w:pPr>
        <w:rPr>
          <w:lang w:val="en-US"/>
        </w:rPr>
      </w:pPr>
      <w:r w:rsidRPr="007D7E1C">
        <w:rPr>
          <w:lang w:val="en-US"/>
        </w:rPr>
        <w:t xml:space="preserve"> </w:t>
      </w:r>
    </w:p>
    <w:p w:rsidR="00CA489E" w:rsidRPr="007D7E1C" w:rsidRDefault="00CA489E" w:rsidP="007D7E1C">
      <w:pPr>
        <w:rPr>
          <w:lang w:val="en-US"/>
        </w:rPr>
      </w:pPr>
      <w:r w:rsidRPr="007D7E1C">
        <w:rPr>
          <w:lang w:val="en-US"/>
        </w:rPr>
        <w:t xml:space="preserve">To agree the four cross-regional action plans, the seven electricity regions developed a regional input to the European Energy </w:t>
      </w:r>
      <w:proofErr w:type="spellStart"/>
      <w:r w:rsidRPr="007D7E1C">
        <w:rPr>
          <w:lang w:val="en-US"/>
        </w:rPr>
        <w:t>Workplan</w:t>
      </w:r>
      <w:proofErr w:type="spellEnd"/>
      <w:r w:rsidRPr="007D7E1C">
        <w:rPr>
          <w:lang w:val="en-US"/>
        </w:rPr>
        <w:t xml:space="preserve">. The seven regional inputs were developed in discussion with TSOs and </w:t>
      </w:r>
      <w:smartTag w:uri="urn:schemas-microsoft-com:office:smarttags" w:element="place">
        <w:smartTag w:uri="urn:schemas-microsoft-com:office:smarttags" w:element="PlaceName">
          <w:r>
            <w:rPr>
              <w:lang w:val="en-US"/>
            </w:rPr>
            <w:t>M</w:t>
          </w:r>
          <w:r w:rsidRPr="007D7E1C">
            <w:rPr>
              <w:lang w:val="en-US"/>
            </w:rPr>
            <w:t>ember</w:t>
          </w:r>
        </w:smartTag>
        <w:r w:rsidRPr="007D7E1C">
          <w:rPr>
            <w:lang w:val="en-US"/>
          </w:rPr>
          <w:t xml:space="preserve"> </w:t>
        </w:r>
        <w:smartTag w:uri="urn:schemas-microsoft-com:office:smarttags" w:element="PlaceType">
          <w:r>
            <w:rPr>
              <w:lang w:val="en-US"/>
            </w:rPr>
            <w:t>S</w:t>
          </w:r>
          <w:r w:rsidRPr="007D7E1C">
            <w:rPr>
              <w:lang w:val="en-US"/>
            </w:rPr>
            <w:t>tates</w:t>
          </w:r>
        </w:smartTag>
      </w:smartTag>
      <w:r w:rsidRPr="007D7E1C">
        <w:rPr>
          <w:lang w:val="en-US"/>
        </w:rPr>
        <w:t xml:space="preserve"> and consulted on with regional stakeholders. The regional inputs explain each regions contribution to completing the internal electricity market. The four cross-regional action plans have been developed and agreed on the basis of the regional inputs. </w:t>
      </w:r>
    </w:p>
    <w:p w:rsidR="00CA489E" w:rsidRPr="007D7E1C" w:rsidRDefault="00CA489E" w:rsidP="007D7E1C">
      <w:pPr>
        <w:rPr>
          <w:lang w:val="en-US"/>
        </w:rPr>
      </w:pPr>
      <w:r w:rsidRPr="007D7E1C">
        <w:rPr>
          <w:lang w:val="en-US"/>
        </w:rPr>
        <w:t xml:space="preserve"> </w:t>
      </w:r>
    </w:p>
    <w:p w:rsidR="00CA489E" w:rsidRPr="005F57CB" w:rsidRDefault="00CA489E" w:rsidP="007D7E1C">
      <w:pPr>
        <w:rPr>
          <w:b/>
          <w:lang w:val="en-US"/>
        </w:rPr>
      </w:pPr>
      <w:r w:rsidRPr="007D7E1C">
        <w:rPr>
          <w:lang w:val="en-US"/>
        </w:rPr>
        <w:t xml:space="preserve">As a result of this process the cross-regional action plans and regional inputs may not be completely consistent. However, </w:t>
      </w:r>
      <w:r w:rsidRPr="005F57CB">
        <w:rPr>
          <w:b/>
          <w:lang w:val="en-US"/>
        </w:rPr>
        <w:t xml:space="preserve">ACER and the National Regulatory Authorities have agreed that the European Energy </w:t>
      </w:r>
      <w:proofErr w:type="spellStart"/>
      <w:r w:rsidRPr="005F57CB">
        <w:rPr>
          <w:b/>
          <w:lang w:val="en-US"/>
        </w:rPr>
        <w:t>Workplan</w:t>
      </w:r>
      <w:proofErr w:type="spellEnd"/>
      <w:r w:rsidRPr="005F57CB">
        <w:rPr>
          <w:b/>
          <w:lang w:val="en-US"/>
        </w:rPr>
        <w:t xml:space="preserve"> consists of only the four cross-regional action plans. This means that, if any inconsistency remains between the seven regional inputs and the four cross-regional action plans, stakeholders should consider that the cross-regional action plans prevail.</w:t>
      </w:r>
    </w:p>
    <w:p w:rsidR="00CA489E" w:rsidRDefault="00CA489E" w:rsidP="005E1539"/>
    <w:p w:rsidR="00CA489E" w:rsidRDefault="00CA489E">
      <w:pPr>
        <w:keepLines w:val="0"/>
        <w:jc w:val="left"/>
        <w:rPr>
          <w:rFonts w:cs="Arial"/>
          <w:b/>
          <w:bCs w:val="0"/>
          <w:iCs/>
          <w:sz w:val="24"/>
          <w:szCs w:val="28"/>
        </w:rPr>
      </w:pPr>
      <w:bookmarkStart w:id="1" w:name="_Toc274811380"/>
      <w:bookmarkStart w:id="2" w:name="_Toc293416706"/>
      <w:r>
        <w:br w:type="page"/>
      </w:r>
    </w:p>
    <w:p w:rsidR="00CA489E" w:rsidRDefault="00CA489E" w:rsidP="005E1539">
      <w:pPr>
        <w:pStyle w:val="Ttulo2"/>
      </w:pPr>
      <w:r>
        <w:lastRenderedPageBreak/>
        <w:t>Review of progress achieved in the period 2007-2009</w:t>
      </w:r>
      <w:bookmarkEnd w:id="1"/>
      <w:bookmarkEnd w:id="2"/>
    </w:p>
    <w:p w:rsidR="00CA489E" w:rsidRDefault="00CA489E" w:rsidP="005E1539"/>
    <w:p w:rsidR="00CA489E" w:rsidRDefault="00CA489E" w:rsidP="005E1539">
      <w:r>
        <w:t>In the previous Action Plan 2007-2009, the following achievements were attained:</w:t>
      </w:r>
    </w:p>
    <w:p w:rsidR="00CA489E" w:rsidRDefault="00CA489E" w:rsidP="005E1539"/>
    <w:p w:rsidR="00CA489E" w:rsidRPr="005E1539" w:rsidRDefault="00CA489E" w:rsidP="005E1539">
      <w:pPr>
        <w:rPr>
          <w:b/>
        </w:rPr>
      </w:pPr>
      <w:bookmarkStart w:id="3" w:name="_Toc274811381"/>
      <w:r w:rsidRPr="005E1539">
        <w:rPr>
          <w:b/>
        </w:rPr>
        <w:t>Priority I: Interconnections and available transmission capacity</w:t>
      </w:r>
      <w:bookmarkEnd w:id="3"/>
    </w:p>
    <w:p w:rsidR="00CA489E" w:rsidRDefault="00CA489E" w:rsidP="005E1539"/>
    <w:p w:rsidR="00CA489E" w:rsidRDefault="00CA489E" w:rsidP="005E1539">
      <w:r>
        <w:t xml:space="preserve">A key achievement in the SW region is the Governmental agreement signed in the France-Spain summit held in Zaragoza, 27 June 2008, to build a new interconnection line between France and Spain, which will help to reach 2600 MW of cross-border capacity for 2014. The long term objective of 4000 MW NTC could be achieved with another interconnection through central-western </w:t>
      </w:r>
      <w:smartTag w:uri="urn:schemas-microsoft-com:office:smarttags" w:element="place">
        <w:r>
          <w:t>Pyrenees</w:t>
        </w:r>
      </w:smartTag>
      <w:r>
        <w:rPr>
          <w:rStyle w:val="Refdenotaalpie"/>
          <w:sz w:val="22"/>
        </w:rPr>
        <w:footnoteReference w:id="2"/>
      </w:r>
      <w:r>
        <w:t>.</w:t>
      </w:r>
    </w:p>
    <w:p w:rsidR="00CA489E" w:rsidRDefault="00CA489E" w:rsidP="005E1539"/>
    <w:p w:rsidR="00CA489E" w:rsidRDefault="00CA489E" w:rsidP="005E1539">
      <w:r>
        <w:t>Regulators offered their full support to governments and TSOs in charge of developing new interconnections.</w:t>
      </w:r>
    </w:p>
    <w:p w:rsidR="00CA489E" w:rsidRPr="00C81F1A" w:rsidRDefault="00CA489E" w:rsidP="005E1539">
      <w:pPr>
        <w:rPr>
          <w:lang w:val="en-US"/>
        </w:rPr>
      </w:pPr>
    </w:p>
    <w:p w:rsidR="00CA489E" w:rsidRPr="00740B99" w:rsidRDefault="00CA489E" w:rsidP="005E1539">
      <w:pPr>
        <w:rPr>
          <w:lang w:val="en-US"/>
        </w:rPr>
      </w:pPr>
      <w:r>
        <w:rPr>
          <w:lang w:val="en-US"/>
        </w:rPr>
        <w:t>As far as t</w:t>
      </w:r>
      <w:r w:rsidRPr="00A26976">
        <w:rPr>
          <w:lang w:val="en-US"/>
        </w:rPr>
        <w:t xml:space="preserve">he interconnection Portugal-Spain is </w:t>
      </w:r>
      <w:r>
        <w:rPr>
          <w:lang w:val="en-US"/>
        </w:rPr>
        <w:t xml:space="preserve">concerned, there are projects under development in order to reach </w:t>
      </w:r>
      <w:r w:rsidRPr="00A26976">
        <w:rPr>
          <w:lang w:val="en-US"/>
        </w:rPr>
        <w:t xml:space="preserve">3000 MW </w:t>
      </w:r>
      <w:r>
        <w:rPr>
          <w:lang w:val="en-US"/>
        </w:rPr>
        <w:t xml:space="preserve">of cross-border </w:t>
      </w:r>
      <w:r w:rsidRPr="00A26976">
        <w:rPr>
          <w:lang w:val="en-US"/>
        </w:rPr>
        <w:t>capacity in 2014</w:t>
      </w:r>
      <w:r>
        <w:rPr>
          <w:lang w:val="en-US"/>
        </w:rPr>
        <w:t>.</w:t>
      </w:r>
    </w:p>
    <w:p w:rsidR="00CA489E" w:rsidRDefault="00CA489E">
      <w:pPr>
        <w:keepLines w:val="0"/>
        <w:jc w:val="left"/>
        <w:rPr>
          <w:b/>
        </w:rPr>
      </w:pPr>
      <w:bookmarkStart w:id="4" w:name="_Toc274811382"/>
    </w:p>
    <w:p w:rsidR="00CA489E" w:rsidRPr="005E1539" w:rsidRDefault="00CA489E" w:rsidP="005E1539">
      <w:pPr>
        <w:rPr>
          <w:b/>
        </w:rPr>
      </w:pPr>
      <w:r w:rsidRPr="005E1539">
        <w:rPr>
          <w:b/>
        </w:rPr>
        <w:t>Priority II: Analysis of convergence in transparency and information management</w:t>
      </w:r>
      <w:bookmarkEnd w:id="4"/>
    </w:p>
    <w:p w:rsidR="00CA489E" w:rsidRDefault="00CA489E" w:rsidP="005E1539"/>
    <w:p w:rsidR="00CA489E" w:rsidRDefault="00CA489E" w:rsidP="005E1539">
      <w:r>
        <w:t xml:space="preserve">This priority relates to compliance with transparency requirements under EU legislation. </w:t>
      </w:r>
    </w:p>
    <w:p w:rsidR="00CA489E" w:rsidRDefault="00CA489E" w:rsidP="005E1539"/>
    <w:p w:rsidR="00CA489E" w:rsidRDefault="00CA489E" w:rsidP="005E1539">
      <w:r>
        <w:t>The first draft SW transparency report for public consultation was released in July 2008. The final SW transparency report was published in September 2008 and presented to the 3</w:t>
      </w:r>
      <w:r>
        <w:rPr>
          <w:vertAlign w:val="superscript"/>
        </w:rPr>
        <w:t>rd</w:t>
      </w:r>
      <w:r>
        <w:t xml:space="preserve"> High Level Group meeting of the SW region. By June 2009 overall compliance with most of the transparency requirements had been achieved. Only some particular aspects could be pointed out:</w:t>
      </w:r>
    </w:p>
    <w:p w:rsidR="00CA489E" w:rsidRDefault="00CA489E" w:rsidP="005E1539"/>
    <w:p w:rsidR="00CA489E" w:rsidRDefault="00CA489E" w:rsidP="005E1539">
      <w:pPr>
        <w:numPr>
          <w:ilvl w:val="0"/>
          <w:numId w:val="7"/>
        </w:numPr>
        <w:spacing w:after="240"/>
        <w:ind w:left="567"/>
        <w:rPr>
          <w:lang w:val="en-US"/>
        </w:rPr>
      </w:pPr>
      <w:r>
        <w:rPr>
          <w:lang w:val="en-US"/>
        </w:rPr>
        <w:t xml:space="preserve">REE: interconnection lines outages and limiting constraints are not published in detailed way due to national security reasons, but are available for regulators. </w:t>
      </w:r>
    </w:p>
    <w:p w:rsidR="00CA489E" w:rsidRDefault="00CA489E" w:rsidP="005E1539">
      <w:pPr>
        <w:numPr>
          <w:ilvl w:val="0"/>
          <w:numId w:val="7"/>
        </w:numPr>
        <w:spacing w:after="240"/>
        <w:ind w:left="567"/>
        <w:rPr>
          <w:lang w:val="en-US"/>
        </w:rPr>
      </w:pPr>
      <w:r>
        <w:rPr>
          <w:lang w:val="en-US"/>
        </w:rPr>
        <w:t>RTE: Two remaining points:</w:t>
      </w:r>
    </w:p>
    <w:p w:rsidR="00CA489E" w:rsidRPr="005E1539" w:rsidRDefault="00CA489E" w:rsidP="005E1539">
      <w:pPr>
        <w:pStyle w:val="Prrafodelista"/>
        <w:numPr>
          <w:ilvl w:val="2"/>
          <w:numId w:val="7"/>
        </w:numPr>
        <w:spacing w:after="240"/>
        <w:ind w:left="851" w:hanging="283"/>
        <w:rPr>
          <w:rFonts w:cs="Arial"/>
          <w:szCs w:val="22"/>
          <w:lang w:val="en-US"/>
        </w:rPr>
      </w:pPr>
      <w:r w:rsidRPr="005E1539">
        <w:rPr>
          <w:rFonts w:cs="Arial"/>
          <w:szCs w:val="22"/>
          <w:lang w:val="en-US"/>
        </w:rPr>
        <w:t xml:space="preserve">RTE is working to improve transparency concerning unavailability forecasts for production units. </w:t>
      </w:r>
      <w:r w:rsidRPr="005E1539">
        <w:rPr>
          <w:rFonts w:cs="Arial"/>
          <w:szCs w:val="22"/>
        </w:rPr>
        <w:t xml:space="preserve">Regarding generation data actually, RTE currently publishes both forecast and ex-post availability data, from one week to 3 years ahead. Today these data are provided for each generation type only (nuclear, hydro, </w:t>
      </w:r>
      <w:r>
        <w:rPr>
          <w:rFonts w:cs="Arial"/>
          <w:szCs w:val="22"/>
        </w:rPr>
        <w:t>thermal</w:t>
      </w:r>
      <w:r w:rsidRPr="005E1539">
        <w:rPr>
          <w:rFonts w:cs="Arial"/>
          <w:szCs w:val="22"/>
        </w:rPr>
        <w:t>…); the detailed data for individual production units of more than 100 MW should be available on RTE’s website by mid-2010 (in accordance with UFE’s announcement).</w:t>
      </w:r>
    </w:p>
    <w:p w:rsidR="00CA489E" w:rsidRDefault="00CA489E" w:rsidP="005E1539">
      <w:pPr>
        <w:pStyle w:val="Prrafodelista2"/>
        <w:numPr>
          <w:ilvl w:val="2"/>
          <w:numId w:val="7"/>
        </w:numPr>
        <w:suppressAutoHyphens/>
        <w:ind w:left="851" w:hanging="283"/>
        <w:jc w:val="both"/>
        <w:rPr>
          <w:rFonts w:cs="Arial"/>
          <w:szCs w:val="22"/>
          <w:lang w:val="en-US"/>
        </w:rPr>
      </w:pPr>
      <w:r>
        <w:rPr>
          <w:rFonts w:ascii="Arial" w:hAnsi="Arial" w:cs="Arial"/>
          <w:sz w:val="22"/>
          <w:szCs w:val="22"/>
          <w:lang w:val="en-US"/>
        </w:rPr>
        <w:t>The limiting constraints explaining where and why the congestions occur are not published by RTE</w:t>
      </w:r>
      <w:r>
        <w:rPr>
          <w:rFonts w:ascii="Arial" w:hAnsi="Arial" w:cs="Arial"/>
          <w:sz w:val="22"/>
          <w:szCs w:val="22"/>
          <w:lang w:val="en-GB"/>
        </w:rPr>
        <w:t xml:space="preserve"> but are available to the NRA. However, monthly NTCs are already </w:t>
      </w:r>
      <w:r>
        <w:rPr>
          <w:rFonts w:ascii="Arial" w:hAnsi="Arial" w:cs="Arial"/>
          <w:sz w:val="22"/>
          <w:szCs w:val="22"/>
          <w:lang w:val="en-GB"/>
        </w:rPr>
        <w:lastRenderedPageBreak/>
        <w:t>published while indicating if the limiting constraint is encountered on the French side, on a neighbouring country side or on the interconnection itself. Moreover, RTE intends to update in 2010 this information on a weekly basis.</w:t>
      </w:r>
    </w:p>
    <w:p w:rsidR="00CA489E" w:rsidRDefault="00CA489E" w:rsidP="005E1539"/>
    <w:p w:rsidR="00CA489E" w:rsidRPr="005E1539" w:rsidRDefault="00CA489E" w:rsidP="005E1539">
      <w:pPr>
        <w:rPr>
          <w:b/>
        </w:rPr>
      </w:pPr>
      <w:bookmarkStart w:id="5" w:name="_Toc274811383"/>
      <w:r w:rsidRPr="005E1539">
        <w:rPr>
          <w:b/>
        </w:rPr>
        <w:t>Priority III: Improvement of cross-border congestion management methods</w:t>
      </w:r>
      <w:bookmarkEnd w:id="5"/>
    </w:p>
    <w:p w:rsidR="00CA489E" w:rsidRDefault="00CA489E" w:rsidP="005E1539"/>
    <w:p w:rsidR="00CA489E" w:rsidRDefault="00CA489E" w:rsidP="005E1539">
      <w:r>
        <w:t xml:space="preserve">Under this priority, the SW region has worked in the evolution of the mechanisms for congestion management in the France-Spain interconnection and coordination with procedures in the MIBEL. </w:t>
      </w:r>
    </w:p>
    <w:p w:rsidR="00CA489E" w:rsidRDefault="00CA489E" w:rsidP="005E1539"/>
    <w:p w:rsidR="00CA489E" w:rsidRDefault="00CA489E" w:rsidP="005E1539">
      <w:r>
        <w:t xml:space="preserve">There have been several advances in CB congestion management methods, namely, the new version of the </w:t>
      </w:r>
      <w:r>
        <w:rPr>
          <w:u w:val="single"/>
        </w:rPr>
        <w:t>auction rules</w:t>
      </w:r>
      <w:r>
        <w:t xml:space="preserve"> for the </w:t>
      </w:r>
      <w:r>
        <w:rPr>
          <w:u w:val="single"/>
        </w:rPr>
        <w:t>French-Spanish</w:t>
      </w:r>
      <w:r>
        <w:t xml:space="preserve"> interconnection, implemented 1st of June 2009. </w:t>
      </w:r>
    </w:p>
    <w:p w:rsidR="00CA489E" w:rsidRDefault="00CA489E" w:rsidP="005E1539"/>
    <w:p w:rsidR="00CA489E" w:rsidRDefault="00CA489E" w:rsidP="005E1539">
      <w:r>
        <w:t>The main improvements in the new version of the rules include:</w:t>
      </w:r>
    </w:p>
    <w:p w:rsidR="00CA489E" w:rsidRDefault="00CA489E" w:rsidP="005E1539"/>
    <w:p w:rsidR="00CA489E" w:rsidRDefault="00CA489E" w:rsidP="005E1539">
      <w:pPr>
        <w:numPr>
          <w:ilvl w:val="0"/>
          <w:numId w:val="4"/>
        </w:numPr>
      </w:pPr>
      <w:r>
        <w:t>New compensation scheme in case of capacity reduction (based on the market spread)</w:t>
      </w:r>
    </w:p>
    <w:p w:rsidR="00CA489E" w:rsidRDefault="00CA489E" w:rsidP="005E1539">
      <w:pPr>
        <w:numPr>
          <w:ilvl w:val="0"/>
          <w:numId w:val="4"/>
        </w:numPr>
      </w:pPr>
      <w:r>
        <w:t>New compensation scheme in case of cancellation of daily auction (based on the market spread)</w:t>
      </w:r>
    </w:p>
    <w:p w:rsidR="00CA489E" w:rsidRDefault="00CA489E" w:rsidP="005E1539">
      <w:pPr>
        <w:numPr>
          <w:ilvl w:val="0"/>
          <w:numId w:val="4"/>
        </w:numPr>
      </w:pPr>
      <w:r>
        <w:t xml:space="preserve">Secondary market: introduction of automatic resale at daily auction </w:t>
      </w:r>
    </w:p>
    <w:p w:rsidR="00CA489E" w:rsidRDefault="00CA489E" w:rsidP="005E1539">
      <w:pPr>
        <w:numPr>
          <w:ilvl w:val="0"/>
          <w:numId w:val="4"/>
        </w:numPr>
      </w:pPr>
      <w:r>
        <w:t>More precise definition of long-term products</w:t>
      </w:r>
    </w:p>
    <w:p w:rsidR="00CA489E" w:rsidRDefault="00CA489E" w:rsidP="005E1539">
      <w:pPr>
        <w:numPr>
          <w:ilvl w:val="0"/>
          <w:numId w:val="4"/>
        </w:numPr>
      </w:pPr>
      <w:r>
        <w:t>Physical firmness for daily and intraday capacity from the communication of auction results</w:t>
      </w:r>
    </w:p>
    <w:p w:rsidR="00CA489E" w:rsidRDefault="00CA489E" w:rsidP="005E1539">
      <w:pPr>
        <w:numPr>
          <w:ilvl w:val="0"/>
          <w:numId w:val="4"/>
        </w:numPr>
      </w:pPr>
      <w:r>
        <w:t>Improvement of transparency with new publications</w:t>
      </w:r>
    </w:p>
    <w:p w:rsidR="00CA489E" w:rsidRDefault="00CA489E" w:rsidP="005E1539">
      <w:pPr>
        <w:numPr>
          <w:ilvl w:val="0"/>
          <w:numId w:val="4"/>
        </w:numPr>
      </w:pPr>
      <w:r>
        <w:t>Clarification of TSOs’ liabilities</w:t>
      </w:r>
    </w:p>
    <w:p w:rsidR="00CA489E" w:rsidRDefault="00CA489E" w:rsidP="005E1539">
      <w:pPr>
        <w:numPr>
          <w:ilvl w:val="0"/>
          <w:numId w:val="4"/>
        </w:numPr>
      </w:pPr>
      <w:r>
        <w:t>Bank guarantees</w:t>
      </w:r>
    </w:p>
    <w:p w:rsidR="00CA489E" w:rsidRDefault="00CA489E" w:rsidP="005E1539">
      <w:pPr>
        <w:rPr>
          <w:lang w:val="en-US"/>
        </w:rPr>
      </w:pPr>
    </w:p>
    <w:p w:rsidR="00CA489E" w:rsidRDefault="00CA489E" w:rsidP="005E1539">
      <w:r>
        <w:t xml:space="preserve">Besides, a public consultation on </w:t>
      </w:r>
      <w:r>
        <w:rPr>
          <w:u w:val="single"/>
        </w:rPr>
        <w:t>intraday</w:t>
      </w:r>
      <w:r>
        <w:t xml:space="preserve"> CB capacity allocation methods took place in summer 2008. The answers however did not allow concluding a clear view by stakeholders</w:t>
      </w:r>
      <w:r>
        <w:rPr>
          <w:rStyle w:val="Refdenotaalpie"/>
          <w:sz w:val="22"/>
        </w:rPr>
        <w:footnoteReference w:id="3"/>
      </w:r>
      <w:r>
        <w:t>.</w:t>
      </w:r>
    </w:p>
    <w:p w:rsidR="00CA489E" w:rsidRDefault="00CA489E" w:rsidP="005E1539"/>
    <w:p w:rsidR="00CA489E" w:rsidRDefault="00CA489E" w:rsidP="005E1539">
      <w:r>
        <w:lastRenderedPageBreak/>
        <w:t xml:space="preserve">OMEL, EPEX SPOT and </w:t>
      </w:r>
      <w:proofErr w:type="spellStart"/>
      <w:r>
        <w:t>NordPool</w:t>
      </w:r>
      <w:proofErr w:type="spellEnd"/>
      <w:r>
        <w:t xml:space="preserve"> announced an agreement on </w:t>
      </w:r>
      <w:r>
        <w:rPr>
          <w:u w:val="single"/>
        </w:rPr>
        <w:t>price-coupling</w:t>
      </w:r>
      <w:r>
        <w:t xml:space="preserve"> as the proper solution to integrate MIBEL, CWE and </w:t>
      </w:r>
      <w:proofErr w:type="spellStart"/>
      <w:r>
        <w:t>NordPool</w:t>
      </w:r>
      <w:proofErr w:type="spellEnd"/>
      <w:r>
        <w:rPr>
          <w:rStyle w:val="Refdenotaalpie"/>
          <w:sz w:val="22"/>
        </w:rPr>
        <w:footnoteReference w:id="4"/>
      </w:r>
      <w:r>
        <w:t>. The PXs are developing a feasibility study and an implementation plan. In a joint presentation made for the 5</w:t>
      </w:r>
      <w:r>
        <w:rPr>
          <w:vertAlign w:val="superscript"/>
        </w:rPr>
        <w:t>th</w:t>
      </w:r>
      <w:r>
        <w:t xml:space="preserve"> SW IG, 27 May 2009, OMEL and </w:t>
      </w:r>
      <w:proofErr w:type="spellStart"/>
      <w:r>
        <w:t>EPEXSpot</w:t>
      </w:r>
      <w:proofErr w:type="spellEnd"/>
      <w:r>
        <w:t xml:space="preserve"> proposed a schedule where SWE and CWE regions would couple in 2010 after the countries within the CWE region couple together under </w:t>
      </w:r>
      <w:proofErr w:type="gramStart"/>
      <w:r>
        <w:t>a</w:t>
      </w:r>
      <w:proofErr w:type="gramEnd"/>
      <w:r>
        <w:t xml:space="preserve"> ATC-approach</w:t>
      </w:r>
      <w:r>
        <w:rPr>
          <w:rStyle w:val="Refdenotaalpie"/>
          <w:sz w:val="22"/>
        </w:rPr>
        <w:footnoteReference w:id="5"/>
      </w:r>
      <w:r>
        <w:t>. An update on the current status of the project was made during the 6</w:t>
      </w:r>
      <w:r>
        <w:rPr>
          <w:vertAlign w:val="superscript"/>
        </w:rPr>
        <w:t>th</w:t>
      </w:r>
      <w:r>
        <w:t xml:space="preserve"> SW IG meeting on the 15</w:t>
      </w:r>
      <w:r>
        <w:rPr>
          <w:vertAlign w:val="superscript"/>
        </w:rPr>
        <w:t>th</w:t>
      </w:r>
      <w:r>
        <w:t xml:space="preserve"> of February 2010. More details on the way the PXs shall cooperate were given. Moreover, the results of the current simulations were positive according to OMEL. By the way, OMEL underlined the necessary involvement of the regulators to deal with the regulatory issues. Concerning the schedule, the participation of the PXs and TSOs in other regions did not allow the setting of a final calendar.</w:t>
      </w:r>
    </w:p>
    <w:p w:rsidR="00CA489E" w:rsidRDefault="00CA489E" w:rsidP="005E1539"/>
    <w:p w:rsidR="00CA489E" w:rsidRDefault="00CA489E" w:rsidP="005E1539">
      <w:pPr>
        <w:rPr>
          <w:rFonts w:cs="Arial"/>
          <w:szCs w:val="22"/>
        </w:rPr>
      </w:pPr>
      <w:r>
        <w:t xml:space="preserve">The TSOs presented a proposal for </w:t>
      </w:r>
      <w:r>
        <w:rPr>
          <w:u w:val="single"/>
        </w:rPr>
        <w:t>cross-border balancing integration</w:t>
      </w:r>
      <w:r>
        <w:t xml:space="preserve"> with a TSO-TSO approach which was welcomed by the 5</w:t>
      </w:r>
      <w:r>
        <w:rPr>
          <w:vertAlign w:val="superscript"/>
        </w:rPr>
        <w:t>th</w:t>
      </w:r>
      <w:r>
        <w:t xml:space="preserve"> SW IG</w:t>
      </w:r>
      <w:r>
        <w:rPr>
          <w:rStyle w:val="Refdenotaalpie"/>
          <w:sz w:val="22"/>
        </w:rPr>
        <w:footnoteReference w:id="6"/>
      </w:r>
      <w:r>
        <w:t>. The RCC have requested from TSOs to develop this model and provide a detailed output for the end of 2009 as well as a realistic timetable for implementation. During the 6</w:t>
      </w:r>
      <w:r>
        <w:rPr>
          <w:vertAlign w:val="superscript"/>
        </w:rPr>
        <w:t>th</w:t>
      </w:r>
      <w:r>
        <w:t xml:space="preserve"> SW IG meeting, </w:t>
      </w:r>
      <w:r>
        <w:rPr>
          <w:rFonts w:cs="Arial"/>
          <w:szCs w:val="22"/>
        </w:rPr>
        <w:t>TSOs identified as key issues in this subject the need to agree on compatible products definition and on a shared schedule that allows allocation of non-commercially used interconnection capacity within time slots adequate for a coordinated bid updating process. TSOs detailed all the changes to be implemented. The issues concerning the compatibility and the cost/benefit analysis of this project were raised.</w:t>
      </w:r>
    </w:p>
    <w:p w:rsidR="00CA489E" w:rsidRDefault="00CA489E">
      <w:pPr>
        <w:keepLines w:val="0"/>
        <w:jc w:val="left"/>
        <w:rPr>
          <w:b/>
        </w:rPr>
      </w:pPr>
      <w:bookmarkStart w:id="6" w:name="_Toc274811384"/>
    </w:p>
    <w:p w:rsidR="00CA489E" w:rsidRPr="005E1539" w:rsidRDefault="00CA489E" w:rsidP="005E1539">
      <w:pPr>
        <w:rPr>
          <w:b/>
        </w:rPr>
      </w:pPr>
      <w:r w:rsidRPr="005E1539">
        <w:rPr>
          <w:b/>
        </w:rPr>
        <w:t>Priority IV: Analysis of the compatibility of the rules of the MIBEL and French markets</w:t>
      </w:r>
      <w:bookmarkEnd w:id="6"/>
    </w:p>
    <w:p w:rsidR="00CA489E" w:rsidRDefault="00CA489E" w:rsidP="005E1539"/>
    <w:p w:rsidR="00CA489E" w:rsidRDefault="00CA489E" w:rsidP="005E1539">
      <w:r>
        <w:t>This topic was addressed in the context of market coupling between MIBEL and CWE. In the 2</w:t>
      </w:r>
      <w:r>
        <w:rPr>
          <w:vertAlign w:val="superscript"/>
        </w:rPr>
        <w:t>nd</w:t>
      </w:r>
      <w:r>
        <w:t xml:space="preserve"> IG meeting, regulators reviewed the existing legal, technical and regulatory barriers to implement market coupling and stated that none of them was insuperable</w:t>
      </w:r>
      <w:r>
        <w:rPr>
          <w:rStyle w:val="Refdenotaalpie"/>
          <w:sz w:val="22"/>
        </w:rPr>
        <w:footnoteReference w:id="7"/>
      </w:r>
      <w:r>
        <w:t xml:space="preserve">. PXs are currently studying what aspects of market rules must be harmonized in the work done for the previous priority. </w:t>
      </w:r>
    </w:p>
    <w:p w:rsidR="00CA489E" w:rsidRDefault="00CA489E" w:rsidP="005E1539"/>
    <w:p w:rsidR="00CA489E" w:rsidRDefault="00CA489E" w:rsidP="005E1539"/>
    <w:p w:rsidR="00CA489E" w:rsidRDefault="00CA489E" w:rsidP="005E1539"/>
    <w:p w:rsidR="00CA489E" w:rsidRDefault="00CA489E" w:rsidP="005E1539"/>
    <w:p w:rsidR="00CA489E" w:rsidRPr="005E1539" w:rsidRDefault="00CA489E" w:rsidP="005E1539">
      <w:pPr>
        <w:rPr>
          <w:b/>
        </w:rPr>
      </w:pPr>
      <w:bookmarkStart w:id="7" w:name="_Toc274811385"/>
      <w:r w:rsidRPr="005E1539">
        <w:rPr>
          <w:b/>
        </w:rPr>
        <w:lastRenderedPageBreak/>
        <w:t>Additional deliverable: Analysis of the administrative procedures for the changing of the legislation in force in each country</w:t>
      </w:r>
      <w:bookmarkEnd w:id="7"/>
      <w:r w:rsidRPr="005E1539">
        <w:rPr>
          <w:b/>
        </w:rPr>
        <w:t xml:space="preserve"> </w:t>
      </w:r>
    </w:p>
    <w:p w:rsidR="00CA489E" w:rsidRDefault="00CA489E" w:rsidP="005E1539"/>
    <w:p w:rsidR="00CA489E" w:rsidRDefault="00CA489E" w:rsidP="005E1539">
      <w:r>
        <w:t>This deliverable was presented during the 1</w:t>
      </w:r>
      <w:r>
        <w:rPr>
          <w:vertAlign w:val="superscript"/>
        </w:rPr>
        <w:t>st</w:t>
      </w:r>
      <w:r>
        <w:t xml:space="preserve"> SG meeting in October 2007. The lack of competences of CNE in cross-border issues (compared to CRE and ERSE) is a key result of the study. </w:t>
      </w:r>
    </w:p>
    <w:p w:rsidR="00CA489E" w:rsidRDefault="00CA489E" w:rsidP="005E1539"/>
    <w:p w:rsidR="00CA489E" w:rsidRDefault="00CA489E" w:rsidP="005E1539">
      <w:r>
        <w:t xml:space="preserve">In addition to the action plan 2007-2009, the RCC of the SW has produced in 2009 the first </w:t>
      </w:r>
      <w:r w:rsidRPr="005E1539">
        <w:t>regional report on interconnections’ use and management.</w:t>
      </w:r>
    </w:p>
    <w:p w:rsidR="00CA489E" w:rsidRDefault="00CA489E"/>
    <w:p w:rsidR="00CA489E" w:rsidRDefault="00CA489E"/>
    <w:p w:rsidR="00CA489E" w:rsidRDefault="00CA489E">
      <w:pPr>
        <w:pStyle w:val="Ttulo1"/>
      </w:pPr>
      <w:bookmarkStart w:id="8" w:name="_Toc293416707"/>
      <w:r>
        <w:t>Priorities and deliverables for 2011-2014</w:t>
      </w:r>
      <w:bookmarkEnd w:id="8"/>
    </w:p>
    <w:p w:rsidR="00CA489E" w:rsidRDefault="00CA489E"/>
    <w:p w:rsidR="00CA489E" w:rsidRPr="00EF128A" w:rsidRDefault="00CA489E">
      <w:pPr>
        <w:keepLines w:val="0"/>
        <w:autoSpaceDE w:val="0"/>
        <w:autoSpaceDN w:val="0"/>
        <w:adjustRightInd w:val="0"/>
      </w:pPr>
      <w:r>
        <w:t xml:space="preserve">The main driver for this Work Plan –and therefore the main priority– is the implementation of the target model for capacity allocation and congestion management. The target model as defined by the draft FG CACM will be implemented in the SW region according to the </w:t>
      </w:r>
      <w:r w:rsidRPr="00EF128A">
        <w:t>milestones and deadlines included in this Work Plan.</w:t>
      </w:r>
    </w:p>
    <w:p w:rsidR="00CA489E" w:rsidRPr="00EF128A" w:rsidRDefault="00CA489E">
      <w:pPr>
        <w:keepLines w:val="0"/>
        <w:autoSpaceDE w:val="0"/>
        <w:autoSpaceDN w:val="0"/>
        <w:adjustRightInd w:val="0"/>
      </w:pPr>
    </w:p>
    <w:p w:rsidR="00CA489E" w:rsidRPr="00EF128A" w:rsidRDefault="00CA489E">
      <w:pPr>
        <w:keepLines w:val="0"/>
        <w:autoSpaceDE w:val="0"/>
        <w:autoSpaceDN w:val="0"/>
        <w:adjustRightInd w:val="0"/>
      </w:pPr>
      <w:r>
        <w:t xml:space="preserve">In </w:t>
      </w:r>
      <w:r w:rsidRPr="00EF128A">
        <w:t>the SW region</w:t>
      </w:r>
      <w:r>
        <w:t>,</w:t>
      </w:r>
      <w:r w:rsidRPr="00EF128A">
        <w:t xml:space="preserve"> </w:t>
      </w:r>
      <w:r>
        <w:t>o</w:t>
      </w:r>
      <w:r w:rsidRPr="00EF128A">
        <w:t>ther priorities have been identified and developed</w:t>
      </w:r>
      <w:r>
        <w:t xml:space="preserve"> in the Work Plan</w:t>
      </w:r>
      <w:r w:rsidRPr="00EF128A">
        <w:t xml:space="preserve">: </w:t>
      </w:r>
    </w:p>
    <w:p w:rsidR="00CA489E" w:rsidRPr="00EF128A" w:rsidRDefault="00CA489E">
      <w:pPr>
        <w:keepLines w:val="0"/>
        <w:autoSpaceDE w:val="0"/>
        <w:autoSpaceDN w:val="0"/>
        <w:adjustRightInd w:val="0"/>
      </w:pPr>
    </w:p>
    <w:p w:rsidR="00CA489E" w:rsidRPr="00EF128A" w:rsidRDefault="00CA489E" w:rsidP="00EF128A">
      <w:pPr>
        <w:pStyle w:val="Prrafodelista"/>
        <w:keepLines w:val="0"/>
        <w:numPr>
          <w:ilvl w:val="0"/>
          <w:numId w:val="25"/>
        </w:numPr>
        <w:autoSpaceDE w:val="0"/>
        <w:autoSpaceDN w:val="0"/>
        <w:adjustRightInd w:val="0"/>
      </w:pPr>
      <w:r w:rsidRPr="00EF128A">
        <w:t>Interconnections and available transmission capacity</w:t>
      </w:r>
    </w:p>
    <w:p w:rsidR="00CA489E" w:rsidRPr="00EF128A" w:rsidRDefault="00CA489E" w:rsidP="00EF128A">
      <w:pPr>
        <w:pStyle w:val="Prrafodelista"/>
        <w:keepLines w:val="0"/>
        <w:numPr>
          <w:ilvl w:val="0"/>
          <w:numId w:val="25"/>
        </w:numPr>
        <w:autoSpaceDE w:val="0"/>
        <w:autoSpaceDN w:val="0"/>
        <w:adjustRightInd w:val="0"/>
      </w:pPr>
      <w:r w:rsidRPr="00EF128A">
        <w:t>Transparency</w:t>
      </w:r>
    </w:p>
    <w:p w:rsidR="00CA489E" w:rsidRPr="00EF128A" w:rsidRDefault="00CA489E" w:rsidP="00EF128A">
      <w:pPr>
        <w:pStyle w:val="Prrafodelista"/>
        <w:keepLines w:val="0"/>
        <w:numPr>
          <w:ilvl w:val="0"/>
          <w:numId w:val="25"/>
        </w:numPr>
        <w:autoSpaceDE w:val="0"/>
        <w:autoSpaceDN w:val="0"/>
        <w:adjustRightInd w:val="0"/>
      </w:pPr>
      <w:r w:rsidRPr="00EF128A">
        <w:t>Regional report on the management and use of interconnections</w:t>
      </w:r>
    </w:p>
    <w:p w:rsidR="00CA489E" w:rsidRPr="00F91B57" w:rsidRDefault="00CA489E">
      <w:pPr>
        <w:keepLines w:val="0"/>
        <w:autoSpaceDE w:val="0"/>
        <w:autoSpaceDN w:val="0"/>
        <w:adjustRightInd w:val="0"/>
        <w:rPr>
          <w:color w:val="FF0000"/>
        </w:rPr>
      </w:pPr>
    </w:p>
    <w:p w:rsidR="00CA489E" w:rsidRDefault="00CA489E">
      <w:pPr>
        <w:pStyle w:val="Ttulo2"/>
        <w:numPr>
          <w:ilvl w:val="0"/>
          <w:numId w:val="0"/>
        </w:numPr>
      </w:pPr>
    </w:p>
    <w:p w:rsidR="00CA489E" w:rsidRDefault="00CA489E" w:rsidP="001643DB">
      <w:pPr>
        <w:pStyle w:val="Ttulo2"/>
      </w:pPr>
      <w:bookmarkStart w:id="9" w:name="_Toc293416708"/>
      <w:smartTag w:uri="urn:schemas:contacts" w:element="Sn">
        <w:r>
          <w:t>Priority</w:t>
        </w:r>
      </w:smartTag>
      <w:r>
        <w:t xml:space="preserve"> </w:t>
      </w:r>
      <w:smartTag w:uri="urn:schemas:contacts" w:element="Sn">
        <w:r>
          <w:t>I.</w:t>
        </w:r>
      </w:smartTag>
      <w:r>
        <w:t xml:space="preserve"> Implementation of the target model</w:t>
      </w:r>
      <w:bookmarkEnd w:id="9"/>
    </w:p>
    <w:p w:rsidR="00CA489E" w:rsidRDefault="00CA489E" w:rsidP="001643DB">
      <w:pPr>
        <w:keepLines w:val="0"/>
        <w:autoSpaceDE w:val="0"/>
        <w:autoSpaceDN w:val="0"/>
        <w:adjustRightInd w:val="0"/>
      </w:pPr>
    </w:p>
    <w:p w:rsidR="00CA489E" w:rsidRDefault="00CA489E" w:rsidP="001643DB">
      <w:r>
        <w:t>Capacity allocation and congestion management is a key issue for market integration and increasing competition. A target model has been defined for electricity with the help of the PCG and AHAG process which fed into the draft FG CACM. Furthermore, cross-border balancing is addressed within this priority.</w:t>
      </w:r>
    </w:p>
    <w:p w:rsidR="00CA489E" w:rsidRDefault="00CA489E" w:rsidP="001643DB"/>
    <w:p w:rsidR="00CA489E" w:rsidRDefault="00CA489E" w:rsidP="001643DB">
      <w:r>
        <w:t>The vision is to converge towards this model in Europe, through progressive implementation, by 2014. The main references for the implementation of the target model are the four cross-regional roadmaps</w:t>
      </w:r>
      <w:r>
        <w:rPr>
          <w:rStyle w:val="Refdenotaalpie"/>
        </w:rPr>
        <w:footnoteReference w:id="8"/>
      </w:r>
      <w:r>
        <w:t xml:space="preserve"> that have been prepared under the coordination of ACER. The purpose of these deliverables is guiding and facilitating the related work in the SW region and to tackle the regional particularities.</w:t>
      </w:r>
    </w:p>
    <w:p w:rsidR="00CA489E" w:rsidRDefault="00CA489E" w:rsidP="001643DB"/>
    <w:p w:rsidR="00CA489E" w:rsidRDefault="00CA489E" w:rsidP="001643DB">
      <w:r>
        <w:lastRenderedPageBreak/>
        <w:t>Once the integrated internal electricity market is reached, the consumers will benefit from improved competition, sustainable prices and secure supply. The efficient utilisation of the transmission system is essential to achieve these objectives.</w:t>
      </w:r>
    </w:p>
    <w:p w:rsidR="00CA489E" w:rsidRDefault="00CA489E" w:rsidP="001643DB"/>
    <w:p w:rsidR="00CA489E" w:rsidRDefault="00CA489E" w:rsidP="001643DB">
      <w:pPr>
        <w:pStyle w:val="Ttulo3"/>
      </w:pPr>
      <w:bookmarkStart w:id="10" w:name="_Toc293416709"/>
      <w:r>
        <w:t>Deliverable I.1 Long term</w:t>
      </w:r>
      <w:bookmarkEnd w:id="10"/>
    </w:p>
    <w:p w:rsidR="00CA489E" w:rsidRDefault="00CA489E" w:rsidP="001643DB"/>
    <w:p w:rsidR="00CA489E" w:rsidRDefault="00CA489E" w:rsidP="00EE574C">
      <w:r>
        <w:t xml:space="preserve">The SW region will promote a single auction platform that can accommodate (if needed) physical and financial long term interconnection capacity products (but not necessarily both types on the same border). </w:t>
      </w:r>
    </w:p>
    <w:p w:rsidR="00CA489E" w:rsidRDefault="00CA489E" w:rsidP="00EE574C"/>
    <w:p w:rsidR="00CA489E" w:rsidRDefault="00CA489E" w:rsidP="00EE574C">
      <w:r>
        <w:t>Since 2007, market players have demanded a single auction platform which provides the market with a common interface for acquiring long term products in (at least) the two borders of the region in a simple and user-friendly way.</w:t>
      </w:r>
    </w:p>
    <w:p w:rsidR="00CA489E" w:rsidRDefault="00CA489E" w:rsidP="00EE574C"/>
    <w:p w:rsidR="00CA489E" w:rsidRDefault="00CA489E" w:rsidP="00EE574C">
      <w:pPr>
        <w:rPr>
          <w:lang w:val="en-US"/>
        </w:rPr>
      </w:pPr>
      <w:r>
        <w:t>Currently, physical products exist in the French-Spanish interconnection and non-coordinated financial products exist in the Spanish market relating to the Portuguese-Spanish interconnection.</w:t>
      </w:r>
    </w:p>
    <w:p w:rsidR="00CA489E" w:rsidRDefault="00CA489E" w:rsidP="00EE574C"/>
    <w:p w:rsidR="00CA489E" w:rsidRDefault="00CA489E" w:rsidP="00EE574C">
      <w:pPr>
        <w:numPr>
          <w:ilvl w:val="0"/>
          <w:numId w:val="4"/>
        </w:numPr>
      </w:pPr>
      <w:r>
        <w:rPr>
          <w:b/>
        </w:rPr>
        <w:t>IPE:</w:t>
      </w:r>
      <w:r>
        <w:t xml:space="preserve"> In the context of MIBEL, the Spanish Government has launched explicit auctions of financial products for the interconnection capacity. Order ITC 1549/2009 foresees financial products as options or obligations. </w:t>
      </w:r>
    </w:p>
    <w:p w:rsidR="00CA489E" w:rsidRDefault="00CA489E" w:rsidP="00C76445"/>
    <w:p w:rsidR="00CA489E" w:rsidRDefault="00CA489E" w:rsidP="00EE574C">
      <w:pPr>
        <w:ind w:left="360"/>
      </w:pPr>
      <w:r>
        <w:t>However, there was a previous agreement between Portugal and Spain, in terms of PTRs, expressed in the Spanish Order ITC/843/2007, which modified the Order ITC/4112/2005, and in the Portuguese regulation, namely the RARI (</w:t>
      </w:r>
      <w:proofErr w:type="spellStart"/>
      <w:r>
        <w:t>Regulamento</w:t>
      </w:r>
      <w:proofErr w:type="spellEnd"/>
      <w:r>
        <w:t xml:space="preserve"> de </w:t>
      </w:r>
      <w:proofErr w:type="spellStart"/>
      <w:r>
        <w:t>Acesso</w:t>
      </w:r>
      <w:proofErr w:type="spellEnd"/>
      <w:r>
        <w:t xml:space="preserve"> </w:t>
      </w:r>
      <w:proofErr w:type="spellStart"/>
      <w:r>
        <w:t>às</w:t>
      </w:r>
      <w:proofErr w:type="spellEnd"/>
      <w:r>
        <w:t xml:space="preserve"> </w:t>
      </w:r>
      <w:proofErr w:type="spellStart"/>
      <w:r>
        <w:t>Redes</w:t>
      </w:r>
      <w:proofErr w:type="spellEnd"/>
      <w:r>
        <w:t xml:space="preserve"> e </w:t>
      </w:r>
      <w:proofErr w:type="spellStart"/>
      <w:r>
        <w:t>Interligações</w:t>
      </w:r>
      <w:proofErr w:type="spellEnd"/>
      <w:r>
        <w:t xml:space="preserve">) and its subsequent developments. The agreement consisted in “allocation of physical capacity rights through explicit auctions in different time horizons”. </w:t>
      </w:r>
    </w:p>
    <w:p w:rsidR="00CA489E" w:rsidRDefault="00CA489E" w:rsidP="00EE574C">
      <w:pPr>
        <w:ind w:left="360"/>
      </w:pPr>
    </w:p>
    <w:p w:rsidR="00CA489E" w:rsidRDefault="00CA489E" w:rsidP="00400A09">
      <w:pPr>
        <w:ind w:left="360"/>
      </w:pPr>
      <w:r w:rsidRPr="00C44544">
        <w:t xml:space="preserve">The MIBEL Regulatory Council (CR MIBEL, composed of National Regulatory Authorities and Financial Services Authorities of Spain and Portugal) elaborated a coordinated proposal of a joint mechanism </w:t>
      </w:r>
      <w:r>
        <w:t xml:space="preserve">(FTR-options) </w:t>
      </w:r>
      <w:r w:rsidRPr="00C44544">
        <w:t>for the long term management of the interconnection Spain-Portugal,</w:t>
      </w:r>
      <w:r>
        <w:t xml:space="preserve"> and</w:t>
      </w:r>
      <w:r w:rsidRPr="00C44544">
        <w:t xml:space="preserve"> submitted</w:t>
      </w:r>
      <w:r>
        <w:t xml:space="preserve"> it to the respective governments</w:t>
      </w:r>
      <w:r>
        <w:rPr>
          <w:rStyle w:val="Refdenotaalpie"/>
          <w:sz w:val="22"/>
        </w:rPr>
        <w:footnoteReference w:id="9"/>
      </w:r>
      <w:r>
        <w:t>.</w:t>
      </w:r>
    </w:p>
    <w:p w:rsidR="00CA489E" w:rsidRPr="00C44544" w:rsidRDefault="00CA489E" w:rsidP="00400A09">
      <w:pPr>
        <w:ind w:left="360"/>
      </w:pPr>
    </w:p>
    <w:p w:rsidR="00CA489E" w:rsidRDefault="00CA489E" w:rsidP="00400A09">
      <w:pPr>
        <w:ind w:left="360"/>
      </w:pPr>
      <w:r>
        <w:t>T</w:t>
      </w:r>
      <w:r w:rsidRPr="00C44544">
        <w:t xml:space="preserve">he </w:t>
      </w:r>
      <w:r>
        <w:t xml:space="preserve">Spanish </w:t>
      </w:r>
      <w:r w:rsidRPr="00C44544">
        <w:t>Ministry of Industry, Tourism and Commerce</w:t>
      </w:r>
      <w:r>
        <w:t xml:space="preserve"> (</w:t>
      </w:r>
      <w:proofErr w:type="spellStart"/>
      <w:r w:rsidRPr="00C44544">
        <w:t>MITyC</w:t>
      </w:r>
      <w:proofErr w:type="spellEnd"/>
      <w:r w:rsidRPr="00C44544">
        <w:t>) submitted a technical assessment of the coordinated proposal for a joint mechanism, in which it valued positively the CR MIBE</w:t>
      </w:r>
      <w:r>
        <w:t>L</w:t>
      </w:r>
      <w:r w:rsidRPr="00C44544">
        <w:t xml:space="preserve"> report, and requested the CNE to develop an implementation proposal of a joint mechanism for the long term management of the </w:t>
      </w:r>
      <w:r>
        <w:t>IPE</w:t>
      </w:r>
      <w:r w:rsidRPr="00C44544">
        <w:t xml:space="preserve">, taking into account both the CR MIBEL report and the </w:t>
      </w:r>
      <w:proofErr w:type="spellStart"/>
      <w:r w:rsidRPr="00C44544">
        <w:t>MITyC</w:t>
      </w:r>
      <w:proofErr w:type="spellEnd"/>
      <w:r w:rsidRPr="00C44544">
        <w:t xml:space="preserve"> technical assessment.</w:t>
      </w:r>
      <w:r>
        <w:t xml:space="preserve"> </w:t>
      </w:r>
      <w:r w:rsidRPr="00C44544">
        <w:t xml:space="preserve">In the same way, the Work Programme approved by the MIBEL Presidents’ Committee for the second half of year 2011, includes the elaboration of the implementation proposal of such a mechanism.  </w:t>
      </w:r>
    </w:p>
    <w:p w:rsidR="00CA489E" w:rsidRDefault="00CA489E" w:rsidP="00400A09">
      <w:pPr>
        <w:ind w:left="360"/>
      </w:pPr>
    </w:p>
    <w:p w:rsidR="00CA489E" w:rsidRDefault="00CA489E" w:rsidP="00400A09">
      <w:pPr>
        <w:ind w:left="360"/>
      </w:pPr>
      <w:r>
        <w:t>Recently, after discussion at regional level, the CR MIBEL has acknowledged that IPE could be the pilot project for auctioning FTRs in CASC.EU. This proposal needs the prior acceptance of the Spanish Ministry (as Third Package has not been transposed yet in Spain) and a positive conclusion of the feasibility analysis of FTRs performed by ACER and by ENTSO-E. Therefore, the deadlines given in the table for IPE are just an estimation that may suffer changes.</w:t>
      </w:r>
    </w:p>
    <w:p w:rsidR="00CA489E" w:rsidRPr="00C44544" w:rsidRDefault="00CA489E" w:rsidP="00EE574C">
      <w:pPr>
        <w:ind w:left="360"/>
        <w:rPr>
          <w:i/>
        </w:rPr>
      </w:pPr>
    </w:p>
    <w:p w:rsidR="00CA489E" w:rsidRPr="00C76445" w:rsidRDefault="00CA489E" w:rsidP="00EE574C"/>
    <w:p w:rsidR="00CA489E" w:rsidRDefault="00CA489E" w:rsidP="00EE574C">
      <w:pPr>
        <w:numPr>
          <w:ilvl w:val="0"/>
          <w:numId w:val="4"/>
        </w:numPr>
        <w:rPr>
          <w:lang w:val="en-US"/>
        </w:rPr>
      </w:pPr>
      <w:r>
        <w:rPr>
          <w:b/>
        </w:rPr>
        <w:t>IFE:</w:t>
      </w:r>
      <w:r>
        <w:t xml:space="preserve"> Since 2006, capacity has been allocated through explicit auctions. Nowadays, the 3</w:t>
      </w:r>
      <w:r>
        <w:rPr>
          <w:vertAlign w:val="superscript"/>
        </w:rPr>
        <w:t>rd</w:t>
      </w:r>
      <w:r>
        <w:t xml:space="preserve"> version of the auctions rules agreed by CRE, CNE and the Spanish Ministry manages the coordinated capacity allocation. </w:t>
      </w:r>
    </w:p>
    <w:p w:rsidR="00CA489E" w:rsidRDefault="00CA489E" w:rsidP="00EE574C">
      <w:pPr>
        <w:rPr>
          <w:lang w:val="en-US"/>
        </w:rPr>
      </w:pPr>
    </w:p>
    <w:p w:rsidR="00CA489E" w:rsidRDefault="00CA489E" w:rsidP="00C76445">
      <w:pPr>
        <w:ind w:left="360"/>
      </w:pPr>
      <w:r>
        <w:rPr>
          <w:lang w:val="en-US"/>
        </w:rPr>
        <w:t xml:space="preserve">Along with the development of liquid markets and reliable prices at the day-ahead time frame, PTRs may be replaced by FTRs together with the implementation of market coupling / market splitting. </w:t>
      </w:r>
      <w:r>
        <w:t xml:space="preserve">In line with the final objective of implementing a unique electricity market in Europe, the products for the SWE region may be allocated by an interregional auction platform. In this regard, the SW region is promoting the transfer of the IFE long term auctions to CASC-EU first with physical treatment but foreseeing the evolution towards FTRs. </w:t>
      </w:r>
    </w:p>
    <w:p w:rsidR="00CA489E" w:rsidRDefault="00CA489E" w:rsidP="00DA1400"/>
    <w:p w:rsidR="00CA489E" w:rsidRDefault="00CA489E" w:rsidP="00DA1400">
      <w:r>
        <w:t xml:space="preserve">There are EU-wide issues which somehow affect the development of long term products in the SW region: </w:t>
      </w:r>
    </w:p>
    <w:p w:rsidR="00CA489E" w:rsidRDefault="00CA489E">
      <w:pPr>
        <w:pStyle w:val="Prrafodelista"/>
        <w:numPr>
          <w:ilvl w:val="0"/>
          <w:numId w:val="30"/>
        </w:numPr>
      </w:pPr>
      <w:r>
        <w:t>Interpretation of firmness before and after nomination defined in the FG CACM.</w:t>
      </w:r>
    </w:p>
    <w:p w:rsidR="00CA489E" w:rsidRDefault="00CA489E">
      <w:pPr>
        <w:pStyle w:val="Prrafodelista"/>
        <w:numPr>
          <w:ilvl w:val="0"/>
          <w:numId w:val="30"/>
        </w:numPr>
      </w:pPr>
      <w:r>
        <w:t>Can CASC.EU auction FTRs?</w:t>
      </w:r>
    </w:p>
    <w:p w:rsidR="00CA489E" w:rsidRDefault="00CA489E">
      <w:pPr>
        <w:pStyle w:val="Prrafodelista"/>
        <w:numPr>
          <w:ilvl w:val="0"/>
          <w:numId w:val="30"/>
        </w:numPr>
      </w:pPr>
      <w:r>
        <w:t>Future of the EU single auction platform and how it will be created: Could CASC and CAO merge eventually in a single platform?</w:t>
      </w:r>
    </w:p>
    <w:p w:rsidR="00CA489E" w:rsidRDefault="00CA489E">
      <w:pPr>
        <w:pStyle w:val="Prrafodelista"/>
        <w:numPr>
          <w:ilvl w:val="0"/>
          <w:numId w:val="30"/>
        </w:numPr>
      </w:pPr>
      <w:r>
        <w:t>When and how the move towards FTRs will happen?</w:t>
      </w:r>
    </w:p>
    <w:p w:rsidR="00CA489E" w:rsidRDefault="00CA489E" w:rsidP="001643DB"/>
    <w:p w:rsidR="00CA489E" w:rsidRPr="00D56EF8" w:rsidRDefault="00CA489E" w:rsidP="001643DB">
      <w:pPr>
        <w:rPr>
          <w:lang w:val="en-US"/>
        </w:rPr>
      </w:pPr>
      <w:r w:rsidRPr="00D56EF8">
        <w:rPr>
          <w:lang w:val="en-US"/>
        </w:rPr>
        <w:t>Timetable:</w:t>
      </w:r>
    </w:p>
    <w:p w:rsidR="00CA489E" w:rsidRPr="00D56EF8" w:rsidRDefault="00CA489E" w:rsidP="001643DB">
      <w:pPr>
        <w:rPr>
          <w:lang w:val="en-US"/>
        </w:rPr>
      </w:pPr>
    </w:p>
    <w:tbl>
      <w:tblPr>
        <w:tblW w:w="0" w:type="auto"/>
        <w:jc w:val="center"/>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7"/>
        <w:gridCol w:w="3035"/>
        <w:gridCol w:w="887"/>
        <w:gridCol w:w="1097"/>
        <w:gridCol w:w="887"/>
        <w:gridCol w:w="1614"/>
        <w:gridCol w:w="887"/>
      </w:tblGrid>
      <w:tr w:rsidR="00CA489E" w:rsidTr="008B21B6">
        <w:trPr>
          <w:gridAfter w:val="1"/>
          <w:wAfter w:w="887" w:type="dxa"/>
          <w:jc w:val="center"/>
        </w:trPr>
        <w:tc>
          <w:tcPr>
            <w:tcW w:w="8407" w:type="dxa"/>
            <w:gridSpan w:val="6"/>
            <w:shd w:val="clear" w:color="auto" w:fill="336798"/>
          </w:tcPr>
          <w:p w:rsidR="00CA489E" w:rsidRDefault="00CA489E" w:rsidP="00C60FF4">
            <w:pPr>
              <w:pStyle w:val="table01"/>
            </w:pPr>
            <w:bookmarkStart w:id="11" w:name="_Toc294259443"/>
            <w:bookmarkStart w:id="12" w:name="OLE_LINK1"/>
            <w:bookmarkStart w:id="13" w:name="OLE_LINK2"/>
            <w:r>
              <w:t>DELIVERABLE I.1 Long term</w:t>
            </w:r>
            <w:bookmarkEnd w:id="11"/>
          </w:p>
        </w:tc>
      </w:tr>
      <w:tr w:rsidR="00CA489E" w:rsidTr="008B21B6">
        <w:trPr>
          <w:gridAfter w:val="1"/>
          <w:wAfter w:w="887" w:type="dxa"/>
          <w:cantSplit/>
          <w:jc w:val="center"/>
        </w:trPr>
        <w:tc>
          <w:tcPr>
            <w:tcW w:w="3922" w:type="dxa"/>
            <w:gridSpan w:val="2"/>
            <w:tcBorders>
              <w:bottom w:val="single" w:sz="4" w:space="0" w:color="auto"/>
            </w:tcBorders>
            <w:shd w:val="clear" w:color="auto" w:fill="336798"/>
          </w:tcPr>
          <w:p w:rsidR="00CA489E" w:rsidRDefault="00CA489E" w:rsidP="007D7E1C">
            <w:pPr>
              <w:keepNext/>
              <w:spacing w:before="40" w:after="40"/>
              <w:jc w:val="center"/>
              <w:rPr>
                <w:rFonts w:ascii="Arial Narrow" w:hAnsi="Arial Narrow"/>
                <w:b/>
                <w:color w:val="FFFFFF"/>
                <w:sz w:val="20"/>
              </w:rPr>
            </w:pPr>
            <w:r>
              <w:rPr>
                <w:rFonts w:ascii="Arial Narrow" w:hAnsi="Arial Narrow"/>
                <w:b/>
                <w:color w:val="FFFFFF"/>
                <w:sz w:val="20"/>
              </w:rPr>
              <w:t>ACTION</w:t>
            </w:r>
          </w:p>
        </w:tc>
        <w:tc>
          <w:tcPr>
            <w:tcW w:w="1984" w:type="dxa"/>
            <w:gridSpan w:val="2"/>
            <w:tcBorders>
              <w:bottom w:val="single" w:sz="4" w:space="0" w:color="auto"/>
            </w:tcBorders>
            <w:shd w:val="clear" w:color="auto" w:fill="336798"/>
          </w:tcPr>
          <w:p w:rsidR="00CA489E" w:rsidRDefault="00CA489E" w:rsidP="007D7E1C">
            <w:pPr>
              <w:keepNext/>
              <w:spacing w:before="40" w:after="40"/>
              <w:jc w:val="center"/>
              <w:rPr>
                <w:rFonts w:ascii="Arial Narrow" w:hAnsi="Arial Narrow"/>
                <w:b/>
                <w:color w:val="FFFFFF"/>
                <w:sz w:val="20"/>
              </w:rPr>
            </w:pPr>
            <w:r>
              <w:rPr>
                <w:rFonts w:ascii="Arial Narrow" w:hAnsi="Arial Narrow"/>
                <w:b/>
                <w:color w:val="FFFFFF"/>
                <w:sz w:val="20"/>
              </w:rPr>
              <w:t>RESPONSIBLE</w:t>
            </w:r>
          </w:p>
        </w:tc>
        <w:tc>
          <w:tcPr>
            <w:tcW w:w="2501" w:type="dxa"/>
            <w:gridSpan w:val="2"/>
            <w:tcBorders>
              <w:bottom w:val="single" w:sz="4" w:space="0" w:color="auto"/>
            </w:tcBorders>
            <w:shd w:val="clear" w:color="auto" w:fill="336798"/>
          </w:tcPr>
          <w:p w:rsidR="00CA489E" w:rsidRDefault="00CA489E" w:rsidP="007D7E1C">
            <w:pPr>
              <w:keepNext/>
              <w:spacing w:before="40" w:after="40"/>
              <w:jc w:val="center"/>
              <w:rPr>
                <w:rFonts w:ascii="Arial Narrow" w:hAnsi="Arial Narrow"/>
                <w:b/>
                <w:color w:val="FFFFFF"/>
                <w:sz w:val="20"/>
              </w:rPr>
            </w:pPr>
            <w:r>
              <w:rPr>
                <w:rFonts w:ascii="Arial Narrow" w:hAnsi="Arial Narrow"/>
                <w:b/>
                <w:color w:val="FFFFFF"/>
                <w:sz w:val="20"/>
              </w:rPr>
              <w:t>DEADLINE</w:t>
            </w:r>
          </w:p>
        </w:tc>
      </w:tr>
      <w:tr w:rsidR="00CA489E" w:rsidTr="008B21B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87" w:type="dxa"/>
          <w:trHeight w:val="228"/>
        </w:trPr>
        <w:tc>
          <w:tcPr>
            <w:tcW w:w="3922" w:type="dxa"/>
            <w:gridSpan w:val="2"/>
            <w:tcBorders>
              <w:top w:val="single" w:sz="4" w:space="0" w:color="auto"/>
              <w:left w:val="single" w:sz="4" w:space="0" w:color="auto"/>
              <w:bottom w:val="single" w:sz="4" w:space="0" w:color="auto"/>
              <w:right w:val="single" w:sz="4" w:space="0" w:color="auto"/>
            </w:tcBorders>
          </w:tcPr>
          <w:p w:rsidR="00CA489E" w:rsidRDefault="00CA489E" w:rsidP="007D7E1C">
            <w:pPr>
              <w:keepNext/>
              <w:spacing w:before="60" w:after="60"/>
              <w:rPr>
                <w:rFonts w:ascii="Arial Narrow" w:hAnsi="Arial Narrow"/>
                <w:sz w:val="20"/>
              </w:rPr>
            </w:pPr>
            <w:r>
              <w:rPr>
                <w:rFonts w:ascii="Arial Narrow" w:hAnsi="Arial Narrow"/>
                <w:sz w:val="20"/>
              </w:rPr>
              <w:t>Decision on long term products and single interface for auctions.</w:t>
            </w:r>
          </w:p>
        </w:tc>
        <w:tc>
          <w:tcPr>
            <w:tcW w:w="1984" w:type="dxa"/>
            <w:gridSpan w:val="2"/>
            <w:tcBorders>
              <w:top w:val="single" w:sz="4" w:space="0" w:color="auto"/>
              <w:left w:val="single" w:sz="4" w:space="0" w:color="auto"/>
              <w:bottom w:val="single" w:sz="4" w:space="0" w:color="auto"/>
              <w:right w:val="single" w:sz="4" w:space="0" w:color="auto"/>
            </w:tcBorders>
          </w:tcPr>
          <w:p w:rsidR="00CA489E" w:rsidRDefault="00CA489E" w:rsidP="007D7E1C">
            <w:pPr>
              <w:keepNext/>
              <w:jc w:val="center"/>
              <w:rPr>
                <w:rFonts w:ascii="Arial Narrow" w:hAnsi="Arial Narrow"/>
                <w:sz w:val="20"/>
              </w:rPr>
            </w:pPr>
            <w:r>
              <w:rPr>
                <w:rFonts w:ascii="Arial Narrow" w:hAnsi="Arial Narrow"/>
                <w:sz w:val="20"/>
              </w:rPr>
              <w:t>RCC</w:t>
            </w:r>
          </w:p>
        </w:tc>
        <w:tc>
          <w:tcPr>
            <w:tcW w:w="2501" w:type="dxa"/>
            <w:gridSpan w:val="2"/>
            <w:tcBorders>
              <w:top w:val="single" w:sz="4" w:space="0" w:color="auto"/>
              <w:left w:val="single" w:sz="4" w:space="0" w:color="auto"/>
              <w:bottom w:val="single" w:sz="4" w:space="0" w:color="auto"/>
              <w:right w:val="single" w:sz="4" w:space="0" w:color="auto"/>
            </w:tcBorders>
          </w:tcPr>
          <w:p w:rsidR="00CA489E" w:rsidRDefault="00CA489E" w:rsidP="007D7E1C">
            <w:pPr>
              <w:keepNext/>
              <w:spacing w:before="40" w:after="40"/>
              <w:jc w:val="center"/>
              <w:rPr>
                <w:rFonts w:ascii="Arial Narrow" w:hAnsi="Arial Narrow"/>
                <w:sz w:val="20"/>
              </w:rPr>
            </w:pPr>
            <w:r>
              <w:rPr>
                <w:rFonts w:ascii="Arial Narrow" w:hAnsi="Arial Narrow"/>
                <w:sz w:val="20"/>
              </w:rPr>
              <w:t>1</w:t>
            </w:r>
            <w:r w:rsidRPr="00587A7B">
              <w:rPr>
                <w:rFonts w:ascii="Arial Narrow" w:hAnsi="Arial Narrow"/>
                <w:sz w:val="20"/>
                <w:vertAlign w:val="superscript"/>
              </w:rPr>
              <w:t>st</w:t>
            </w:r>
            <w:r>
              <w:rPr>
                <w:rFonts w:ascii="Arial Narrow" w:hAnsi="Arial Narrow"/>
                <w:sz w:val="20"/>
              </w:rPr>
              <w:t xml:space="preserve"> quarter 2011</w:t>
            </w:r>
          </w:p>
        </w:tc>
      </w:tr>
      <w:tr w:rsidR="00CA489E" w:rsidTr="008B21B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87" w:type="dxa"/>
        </w:trPr>
        <w:tc>
          <w:tcPr>
            <w:tcW w:w="8407" w:type="dxa"/>
            <w:gridSpan w:val="6"/>
            <w:tcBorders>
              <w:top w:val="single" w:sz="4" w:space="0" w:color="auto"/>
              <w:left w:val="single" w:sz="4" w:space="0" w:color="auto"/>
              <w:bottom w:val="single" w:sz="4" w:space="0" w:color="auto"/>
              <w:right w:val="single" w:sz="4" w:space="0" w:color="auto"/>
            </w:tcBorders>
            <w:shd w:val="clear" w:color="auto" w:fill="548DD4"/>
          </w:tcPr>
          <w:p w:rsidR="00CA489E" w:rsidRDefault="00CA489E" w:rsidP="001643DB">
            <w:pPr>
              <w:keepNext/>
              <w:spacing w:before="40" w:after="40"/>
              <w:jc w:val="center"/>
              <w:rPr>
                <w:rFonts w:ascii="Arial Narrow" w:hAnsi="Arial Narrow"/>
                <w:b/>
                <w:color w:val="FFFFFF"/>
                <w:sz w:val="20"/>
              </w:rPr>
            </w:pPr>
            <w:r>
              <w:rPr>
                <w:rFonts w:ascii="Arial Narrow" w:hAnsi="Arial Narrow"/>
                <w:b/>
                <w:color w:val="FFFFFF"/>
                <w:sz w:val="20"/>
              </w:rPr>
              <w:t>IFE</w:t>
            </w:r>
          </w:p>
        </w:tc>
      </w:tr>
      <w:tr w:rsidR="00CA489E" w:rsidTr="008B21B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87" w:type="dxa"/>
          <w:trHeight w:val="228"/>
        </w:trPr>
        <w:tc>
          <w:tcPr>
            <w:tcW w:w="3922" w:type="dxa"/>
            <w:gridSpan w:val="2"/>
            <w:tcBorders>
              <w:top w:val="single" w:sz="4" w:space="0" w:color="auto"/>
              <w:left w:val="single" w:sz="4" w:space="0" w:color="auto"/>
              <w:bottom w:val="single" w:sz="4" w:space="0" w:color="auto"/>
              <w:right w:val="single" w:sz="4" w:space="0" w:color="auto"/>
            </w:tcBorders>
            <w:vAlign w:val="center"/>
          </w:tcPr>
          <w:p w:rsidR="00CA489E" w:rsidRPr="00CA489E" w:rsidRDefault="002D0191" w:rsidP="001046E9">
            <w:pPr>
              <w:pStyle w:val="NormalWeb"/>
              <w:spacing w:before="0" w:after="0"/>
              <w:rPr>
                <w:rFonts w:ascii="Arial Narrow" w:hAnsi="Arial Narrow" w:cs="Arial"/>
                <w:szCs w:val="36"/>
                <w:lang w:val="en-US"/>
              </w:rPr>
            </w:pPr>
            <w:r w:rsidRPr="002D0191">
              <w:rPr>
                <w:rFonts w:ascii="Arial Narrow" w:hAnsi="Arial Narrow" w:cs="Arial"/>
                <w:bCs/>
                <w:color w:val="000000"/>
                <w:kern w:val="24"/>
                <w:szCs w:val="32"/>
                <w:lang w:val="en-GB"/>
              </w:rPr>
              <w:t>REE becomes shareholder of CASC.EU.</w:t>
            </w:r>
          </w:p>
          <w:p w:rsidR="00822AF7" w:rsidRDefault="002D0191">
            <w:pPr>
              <w:keepNext/>
              <w:spacing w:before="60" w:after="60"/>
              <w:jc w:val="left"/>
              <w:rPr>
                <w:rFonts w:ascii="Arial Narrow" w:hAnsi="Arial Narrow"/>
                <w:sz w:val="20"/>
              </w:rPr>
            </w:pPr>
            <w:r w:rsidRPr="002D0191">
              <w:rPr>
                <w:rFonts w:ascii="Arial Narrow" w:hAnsi="Arial Narrow" w:cs="Arial"/>
                <w:bCs w:val="0"/>
                <w:color w:val="000000"/>
                <w:kern w:val="24"/>
                <w:sz w:val="20"/>
                <w:szCs w:val="32"/>
              </w:rPr>
              <w:t xml:space="preserve">Approval of new IFE rules. </w:t>
            </w:r>
          </w:p>
        </w:tc>
        <w:tc>
          <w:tcPr>
            <w:tcW w:w="198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CA489E" w:rsidRPr="005A36F2" w:rsidDel="005A36F2" w:rsidRDefault="002D0191" w:rsidP="001046E9">
            <w:pPr>
              <w:keepNext/>
              <w:jc w:val="center"/>
              <w:rPr>
                <w:rFonts w:ascii="Arial Narrow" w:hAnsi="Arial Narrow"/>
                <w:sz w:val="20"/>
              </w:rPr>
            </w:pPr>
            <w:r w:rsidRPr="002D0191">
              <w:rPr>
                <w:rFonts w:ascii="Arial Narrow" w:hAnsi="Arial Narrow" w:cs="Arial"/>
                <w:bCs w:val="0"/>
                <w:color w:val="000000"/>
                <w:kern w:val="24"/>
                <w:sz w:val="20"/>
                <w:szCs w:val="32"/>
              </w:rPr>
              <w:t>CRE, Spanish competent authorities and CASC.EU.</w:t>
            </w:r>
          </w:p>
        </w:tc>
        <w:tc>
          <w:tcPr>
            <w:tcW w:w="2501" w:type="dxa"/>
            <w:gridSpan w:val="2"/>
            <w:tcBorders>
              <w:top w:val="single" w:sz="4" w:space="0" w:color="auto"/>
              <w:left w:val="single" w:sz="4" w:space="0" w:color="auto"/>
              <w:bottom w:val="single" w:sz="4" w:space="0" w:color="auto"/>
              <w:right w:val="single" w:sz="4" w:space="0" w:color="auto"/>
            </w:tcBorders>
          </w:tcPr>
          <w:p w:rsidR="00CA489E" w:rsidRPr="005A36F2" w:rsidDel="005A36F2" w:rsidRDefault="00CA489E" w:rsidP="001046E9">
            <w:pPr>
              <w:keepNext/>
              <w:spacing w:before="40" w:after="40"/>
              <w:jc w:val="center"/>
              <w:rPr>
                <w:rFonts w:ascii="Arial Narrow" w:hAnsi="Arial Narrow"/>
                <w:sz w:val="20"/>
              </w:rPr>
            </w:pPr>
            <w:r>
              <w:rPr>
                <w:rFonts w:ascii="Arial Narrow" w:hAnsi="Arial Narrow" w:cs="Arial"/>
                <w:bCs w:val="0"/>
                <w:color w:val="000000"/>
                <w:kern w:val="24"/>
                <w:sz w:val="20"/>
                <w:szCs w:val="32"/>
                <w:lang w:val="de-DE"/>
              </w:rPr>
              <w:t xml:space="preserve">1st </w:t>
            </w:r>
            <w:r>
              <w:rPr>
                <w:rFonts w:ascii="Arial Narrow" w:hAnsi="Arial Narrow"/>
                <w:sz w:val="20"/>
              </w:rPr>
              <w:t>quarter</w:t>
            </w:r>
            <w:r w:rsidR="002D0191" w:rsidRPr="002D0191">
              <w:rPr>
                <w:rFonts w:ascii="Arial Narrow" w:hAnsi="Arial Narrow" w:cs="Arial"/>
                <w:bCs w:val="0"/>
                <w:color w:val="000000"/>
                <w:kern w:val="24"/>
                <w:sz w:val="20"/>
                <w:szCs w:val="32"/>
                <w:lang w:val="de-DE"/>
              </w:rPr>
              <w:t xml:space="preserve"> 2012</w:t>
            </w:r>
          </w:p>
        </w:tc>
      </w:tr>
      <w:tr w:rsidR="00CA489E" w:rsidTr="008B21B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87" w:type="dxa"/>
          <w:trHeight w:val="228"/>
        </w:trPr>
        <w:tc>
          <w:tcPr>
            <w:tcW w:w="3922" w:type="dxa"/>
            <w:gridSpan w:val="2"/>
            <w:tcBorders>
              <w:top w:val="single" w:sz="4" w:space="0" w:color="auto"/>
              <w:left w:val="single" w:sz="4" w:space="0" w:color="auto"/>
              <w:bottom w:val="single" w:sz="4" w:space="0" w:color="auto"/>
              <w:right w:val="single" w:sz="4" w:space="0" w:color="auto"/>
            </w:tcBorders>
            <w:vAlign w:val="center"/>
          </w:tcPr>
          <w:p w:rsidR="00822AF7" w:rsidRDefault="002D0191">
            <w:pPr>
              <w:keepNext/>
              <w:spacing w:before="60" w:after="60"/>
              <w:jc w:val="left"/>
              <w:rPr>
                <w:rFonts w:ascii="Arial Narrow" w:hAnsi="Arial Narrow"/>
                <w:sz w:val="20"/>
              </w:rPr>
            </w:pPr>
            <w:r w:rsidRPr="002D0191">
              <w:rPr>
                <w:rFonts w:ascii="Arial Narrow" w:hAnsi="Arial Narrow" w:cs="Arial"/>
                <w:color w:val="000000"/>
                <w:kern w:val="24"/>
                <w:sz w:val="20"/>
                <w:szCs w:val="32"/>
              </w:rPr>
              <w:lastRenderedPageBreak/>
              <w:t xml:space="preserve">IFE included in CASC HAR. </w:t>
            </w:r>
          </w:p>
        </w:tc>
        <w:tc>
          <w:tcPr>
            <w:tcW w:w="1984" w:type="dxa"/>
            <w:gridSpan w:val="2"/>
            <w:tcBorders>
              <w:top w:val="single" w:sz="4" w:space="0" w:color="auto"/>
              <w:left w:val="single" w:sz="4" w:space="0" w:color="auto"/>
              <w:bottom w:val="single" w:sz="4" w:space="0" w:color="auto"/>
              <w:right w:val="single" w:sz="4" w:space="0" w:color="auto"/>
            </w:tcBorders>
          </w:tcPr>
          <w:p w:rsidR="00CA489E" w:rsidRPr="005A36F2" w:rsidDel="005A36F2" w:rsidRDefault="002D0191" w:rsidP="001046E9">
            <w:pPr>
              <w:keepNext/>
              <w:jc w:val="center"/>
              <w:rPr>
                <w:rFonts w:ascii="Arial Narrow" w:hAnsi="Arial Narrow"/>
                <w:sz w:val="20"/>
              </w:rPr>
            </w:pPr>
            <w:r w:rsidRPr="002D0191">
              <w:rPr>
                <w:rFonts w:ascii="Arial Narrow" w:hAnsi="Arial Narrow" w:cs="Arial"/>
                <w:color w:val="000000"/>
                <w:kern w:val="24"/>
                <w:sz w:val="20"/>
                <w:szCs w:val="32"/>
              </w:rPr>
              <w:t>CASC-EU and TSOs</w:t>
            </w:r>
          </w:p>
        </w:tc>
        <w:tc>
          <w:tcPr>
            <w:tcW w:w="2501" w:type="dxa"/>
            <w:gridSpan w:val="2"/>
            <w:tcBorders>
              <w:top w:val="single" w:sz="4" w:space="0" w:color="auto"/>
              <w:left w:val="single" w:sz="4" w:space="0" w:color="auto"/>
              <w:bottom w:val="single" w:sz="4" w:space="0" w:color="auto"/>
              <w:right w:val="single" w:sz="4" w:space="0" w:color="auto"/>
            </w:tcBorders>
          </w:tcPr>
          <w:p w:rsidR="00CA489E" w:rsidRPr="005A36F2" w:rsidDel="005A36F2" w:rsidRDefault="00CA489E" w:rsidP="001046E9">
            <w:pPr>
              <w:keepNext/>
              <w:spacing w:before="40" w:after="40"/>
              <w:jc w:val="center"/>
              <w:rPr>
                <w:rFonts w:ascii="Arial Narrow" w:hAnsi="Arial Narrow"/>
                <w:sz w:val="20"/>
              </w:rPr>
            </w:pPr>
            <w:r>
              <w:rPr>
                <w:rFonts w:ascii="Arial Narrow" w:hAnsi="Arial Narrow" w:cs="Arial"/>
                <w:color w:val="000000"/>
                <w:kern w:val="24"/>
                <w:sz w:val="20"/>
                <w:szCs w:val="32"/>
              </w:rPr>
              <w:t>2</w:t>
            </w:r>
            <w:r w:rsidR="002D0191" w:rsidRPr="002D0191">
              <w:rPr>
                <w:rFonts w:ascii="Arial Narrow" w:hAnsi="Arial Narrow" w:cs="Arial"/>
                <w:color w:val="000000"/>
                <w:kern w:val="24"/>
                <w:sz w:val="20"/>
                <w:szCs w:val="32"/>
                <w:vertAlign w:val="superscript"/>
              </w:rPr>
              <w:t>nd</w:t>
            </w:r>
            <w:r>
              <w:rPr>
                <w:rFonts w:ascii="Arial Narrow" w:hAnsi="Arial Narrow" w:cs="Arial"/>
                <w:color w:val="000000"/>
                <w:kern w:val="24"/>
                <w:sz w:val="20"/>
                <w:szCs w:val="32"/>
              </w:rPr>
              <w:t xml:space="preserve"> </w:t>
            </w:r>
            <w:r>
              <w:rPr>
                <w:rFonts w:ascii="Arial Narrow" w:hAnsi="Arial Narrow"/>
                <w:sz w:val="20"/>
              </w:rPr>
              <w:t>quarter</w:t>
            </w:r>
            <w:r w:rsidR="002D0191" w:rsidRPr="002D0191">
              <w:rPr>
                <w:rFonts w:ascii="Arial Narrow" w:hAnsi="Arial Narrow" w:cs="Arial"/>
                <w:color w:val="000000"/>
                <w:kern w:val="24"/>
                <w:sz w:val="20"/>
                <w:szCs w:val="32"/>
              </w:rPr>
              <w:t xml:space="preserve"> 2012</w:t>
            </w:r>
          </w:p>
        </w:tc>
      </w:tr>
      <w:tr w:rsidR="00CA489E" w:rsidTr="008B21B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87" w:type="dxa"/>
          <w:trHeight w:val="228"/>
        </w:trPr>
        <w:tc>
          <w:tcPr>
            <w:tcW w:w="3922" w:type="dxa"/>
            <w:gridSpan w:val="2"/>
            <w:tcBorders>
              <w:top w:val="single" w:sz="4" w:space="0" w:color="auto"/>
              <w:left w:val="single" w:sz="4" w:space="0" w:color="auto"/>
              <w:bottom w:val="single" w:sz="4" w:space="0" w:color="auto"/>
              <w:right w:val="single" w:sz="4" w:space="0" w:color="auto"/>
            </w:tcBorders>
            <w:vAlign w:val="center"/>
          </w:tcPr>
          <w:p w:rsidR="00822AF7" w:rsidRDefault="002D0191">
            <w:pPr>
              <w:keepNext/>
              <w:spacing w:before="60" w:after="60"/>
              <w:jc w:val="left"/>
              <w:rPr>
                <w:rFonts w:ascii="Arial Narrow" w:hAnsi="Arial Narrow"/>
                <w:sz w:val="20"/>
              </w:rPr>
            </w:pPr>
            <w:r w:rsidRPr="002D0191">
              <w:rPr>
                <w:rFonts w:ascii="Arial Narrow" w:hAnsi="Arial Narrow" w:cs="Arial"/>
                <w:color w:val="000000"/>
                <w:kern w:val="24"/>
                <w:sz w:val="20"/>
                <w:szCs w:val="32"/>
                <w:lang w:val="en-US"/>
              </w:rPr>
              <w:t>IFE monthly auctions to be performed by CASC.EU</w:t>
            </w:r>
            <w:r w:rsidRPr="002D0191">
              <w:rPr>
                <w:rFonts w:ascii="Arial Narrow" w:hAnsi="Arial Narrow" w:cs="Arial"/>
                <w:color w:val="000000"/>
                <w:kern w:val="24"/>
                <w:sz w:val="20"/>
                <w:szCs w:val="32"/>
              </w:rPr>
              <w:t xml:space="preserve"> </w:t>
            </w:r>
          </w:p>
        </w:tc>
        <w:tc>
          <w:tcPr>
            <w:tcW w:w="1984" w:type="dxa"/>
            <w:gridSpan w:val="2"/>
            <w:tcBorders>
              <w:top w:val="single" w:sz="4" w:space="0" w:color="auto"/>
              <w:left w:val="single" w:sz="4" w:space="0" w:color="auto"/>
              <w:bottom w:val="single" w:sz="4" w:space="0" w:color="auto"/>
              <w:right w:val="single" w:sz="4" w:space="0" w:color="auto"/>
            </w:tcBorders>
          </w:tcPr>
          <w:p w:rsidR="00CA489E" w:rsidRPr="005A36F2" w:rsidDel="005A36F2" w:rsidRDefault="002D0191" w:rsidP="001046E9">
            <w:pPr>
              <w:keepNext/>
              <w:jc w:val="center"/>
              <w:rPr>
                <w:rFonts w:ascii="Arial Narrow" w:hAnsi="Arial Narrow"/>
                <w:sz w:val="20"/>
              </w:rPr>
            </w:pPr>
            <w:r w:rsidRPr="002D0191">
              <w:rPr>
                <w:rFonts w:ascii="Arial Narrow" w:hAnsi="Arial Narrow" w:cs="Arial"/>
                <w:color w:val="000000"/>
                <w:kern w:val="24"/>
                <w:sz w:val="20"/>
                <w:szCs w:val="32"/>
              </w:rPr>
              <w:t>CASC.EU and TSOs</w:t>
            </w:r>
          </w:p>
        </w:tc>
        <w:tc>
          <w:tcPr>
            <w:tcW w:w="2501" w:type="dxa"/>
            <w:gridSpan w:val="2"/>
            <w:tcBorders>
              <w:top w:val="single" w:sz="4" w:space="0" w:color="auto"/>
              <w:left w:val="single" w:sz="4" w:space="0" w:color="auto"/>
              <w:bottom w:val="single" w:sz="4" w:space="0" w:color="auto"/>
              <w:right w:val="single" w:sz="4" w:space="0" w:color="auto"/>
            </w:tcBorders>
          </w:tcPr>
          <w:p w:rsidR="00CA489E" w:rsidRPr="005A36F2" w:rsidDel="005A36F2" w:rsidRDefault="002D0191" w:rsidP="001046E9">
            <w:pPr>
              <w:keepNext/>
              <w:spacing w:before="40" w:after="40"/>
              <w:jc w:val="center"/>
              <w:rPr>
                <w:rFonts w:ascii="Arial Narrow" w:hAnsi="Arial Narrow"/>
                <w:sz w:val="20"/>
              </w:rPr>
            </w:pPr>
            <w:r w:rsidRPr="002D0191">
              <w:rPr>
                <w:rFonts w:ascii="Arial Narrow" w:hAnsi="Arial Narrow" w:cs="Arial"/>
                <w:color w:val="000000"/>
                <w:kern w:val="24"/>
                <w:sz w:val="20"/>
                <w:szCs w:val="32"/>
              </w:rPr>
              <w:t>End of May 2012 (auction capacities for June 2012)</w:t>
            </w:r>
          </w:p>
        </w:tc>
      </w:tr>
      <w:tr w:rsidR="00CA489E" w:rsidRPr="001B0E03" w:rsidTr="008B21B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87" w:type="dxa"/>
          <w:trHeight w:val="228"/>
        </w:trPr>
        <w:tc>
          <w:tcPr>
            <w:tcW w:w="8407" w:type="dxa"/>
            <w:gridSpan w:val="6"/>
            <w:tcBorders>
              <w:top w:val="single" w:sz="4" w:space="0" w:color="auto"/>
              <w:left w:val="single" w:sz="4" w:space="0" w:color="auto"/>
              <w:bottom w:val="single" w:sz="4" w:space="0" w:color="auto"/>
              <w:right w:val="single" w:sz="4" w:space="0" w:color="auto"/>
            </w:tcBorders>
            <w:shd w:val="clear" w:color="auto" w:fill="548DD4"/>
          </w:tcPr>
          <w:p w:rsidR="00CA489E" w:rsidRPr="00CA489E" w:rsidDel="00CD5CDF" w:rsidRDefault="00CA489E" w:rsidP="00EE574C">
            <w:pPr>
              <w:keepNext/>
              <w:spacing w:before="40" w:after="40"/>
              <w:jc w:val="center"/>
              <w:rPr>
                <w:rFonts w:ascii="Arial Narrow" w:hAnsi="Arial Narrow"/>
                <w:b/>
                <w:color w:val="FFFFFF"/>
                <w:sz w:val="20"/>
              </w:rPr>
            </w:pPr>
            <w:r>
              <w:rPr>
                <w:rFonts w:ascii="Arial Narrow" w:hAnsi="Arial Narrow"/>
                <w:b/>
                <w:color w:val="FFFFFF"/>
                <w:sz w:val="20"/>
              </w:rPr>
              <w:t>IPE</w:t>
            </w:r>
          </w:p>
        </w:tc>
      </w:tr>
      <w:tr w:rsidR="00CA489E" w:rsidRPr="00F74597" w:rsidTr="008B21B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87" w:type="dxa"/>
          <w:trHeight w:val="228"/>
        </w:trPr>
        <w:tc>
          <w:tcPr>
            <w:tcW w:w="3922" w:type="dxa"/>
            <w:gridSpan w:val="2"/>
            <w:tcBorders>
              <w:top w:val="single" w:sz="4" w:space="0" w:color="auto"/>
              <w:left w:val="single" w:sz="4" w:space="0" w:color="auto"/>
              <w:bottom w:val="single" w:sz="4" w:space="0" w:color="auto"/>
              <w:right w:val="single" w:sz="4" w:space="0" w:color="auto"/>
            </w:tcBorders>
          </w:tcPr>
          <w:p w:rsidR="00822AF7" w:rsidRDefault="002D0191">
            <w:pPr>
              <w:keepNext/>
              <w:spacing w:before="60" w:after="60"/>
              <w:rPr>
                <w:rFonts w:ascii="Arial Narrow" w:hAnsi="Arial Narrow" w:cs="Arial"/>
                <w:color w:val="000000"/>
                <w:kern w:val="24"/>
                <w:sz w:val="20"/>
                <w:szCs w:val="32"/>
                <w:lang w:val="en-US"/>
              </w:rPr>
            </w:pPr>
            <w:r w:rsidRPr="002D0191">
              <w:rPr>
                <w:rFonts w:ascii="Arial Narrow" w:hAnsi="Arial Narrow" w:cs="Arial"/>
                <w:color w:val="000000"/>
                <w:kern w:val="24"/>
                <w:sz w:val="20"/>
                <w:szCs w:val="32"/>
                <w:lang w:val="en-US"/>
              </w:rPr>
              <w:t xml:space="preserve">Clarification of feasibility of FTRs in CASC.EU. </w:t>
            </w:r>
          </w:p>
          <w:p w:rsidR="00CA489E" w:rsidRPr="00CA489E" w:rsidRDefault="002D0191" w:rsidP="000A7B4B">
            <w:pPr>
              <w:keepNext/>
              <w:spacing w:before="60" w:after="60"/>
              <w:rPr>
                <w:rFonts w:ascii="Arial Narrow" w:hAnsi="Arial Narrow" w:cs="Arial"/>
                <w:color w:val="000000"/>
                <w:kern w:val="24"/>
                <w:sz w:val="20"/>
                <w:szCs w:val="32"/>
                <w:lang w:val="en-US"/>
              </w:rPr>
            </w:pPr>
            <w:r w:rsidRPr="002D0191">
              <w:rPr>
                <w:rFonts w:ascii="Arial Narrow" w:hAnsi="Arial Narrow" w:cs="Arial"/>
                <w:color w:val="000000"/>
                <w:kern w:val="24"/>
                <w:sz w:val="20"/>
                <w:szCs w:val="32"/>
                <w:lang w:val="en-US"/>
              </w:rPr>
              <w:t xml:space="preserve">Approval of IPE rules for long term coordinated products </w:t>
            </w:r>
          </w:p>
        </w:tc>
        <w:tc>
          <w:tcPr>
            <w:tcW w:w="1984" w:type="dxa"/>
            <w:gridSpan w:val="2"/>
            <w:tcBorders>
              <w:top w:val="single" w:sz="4" w:space="0" w:color="auto"/>
              <w:left w:val="single" w:sz="4" w:space="0" w:color="auto"/>
              <w:bottom w:val="single" w:sz="4" w:space="0" w:color="auto"/>
              <w:right w:val="single" w:sz="4" w:space="0" w:color="auto"/>
            </w:tcBorders>
          </w:tcPr>
          <w:p w:rsidR="00CA489E" w:rsidRPr="00CA489E" w:rsidRDefault="002D0191" w:rsidP="004A514A">
            <w:pPr>
              <w:keepNext/>
              <w:spacing w:before="60" w:after="60"/>
              <w:jc w:val="center"/>
              <w:rPr>
                <w:rFonts w:ascii="Arial Narrow" w:hAnsi="Arial Narrow" w:cs="Arial"/>
                <w:color w:val="000000"/>
                <w:kern w:val="24"/>
                <w:sz w:val="20"/>
                <w:szCs w:val="32"/>
                <w:lang w:val="en-US"/>
              </w:rPr>
            </w:pPr>
            <w:r w:rsidRPr="002D0191">
              <w:rPr>
                <w:rFonts w:ascii="Arial Narrow" w:hAnsi="Arial Narrow" w:cs="Arial"/>
                <w:color w:val="000000"/>
                <w:kern w:val="24"/>
                <w:sz w:val="20"/>
                <w:szCs w:val="32"/>
                <w:lang w:val="en-US"/>
              </w:rPr>
              <w:t>CASC.EU, ERSE and Spanish competent authorities</w:t>
            </w:r>
          </w:p>
        </w:tc>
        <w:tc>
          <w:tcPr>
            <w:tcW w:w="2501" w:type="dxa"/>
            <w:gridSpan w:val="2"/>
            <w:tcBorders>
              <w:top w:val="single" w:sz="4" w:space="0" w:color="auto"/>
              <w:left w:val="single" w:sz="4" w:space="0" w:color="auto"/>
              <w:bottom w:val="single" w:sz="4" w:space="0" w:color="auto"/>
              <w:right w:val="single" w:sz="4" w:space="0" w:color="auto"/>
            </w:tcBorders>
          </w:tcPr>
          <w:p w:rsidR="00822AF7" w:rsidRDefault="002D0191">
            <w:pPr>
              <w:keepNext/>
              <w:spacing w:before="60" w:after="60"/>
              <w:jc w:val="center"/>
              <w:rPr>
                <w:rFonts w:ascii="Arial Narrow" w:hAnsi="Arial Narrow" w:cs="Arial"/>
                <w:color w:val="000000"/>
                <w:kern w:val="24"/>
                <w:sz w:val="20"/>
                <w:szCs w:val="32"/>
                <w:lang w:val="en-US"/>
              </w:rPr>
            </w:pPr>
            <w:r w:rsidRPr="002D0191">
              <w:rPr>
                <w:rFonts w:ascii="Arial Narrow" w:hAnsi="Arial Narrow" w:cs="Arial"/>
                <w:color w:val="000000"/>
                <w:kern w:val="24"/>
                <w:sz w:val="20"/>
                <w:szCs w:val="32"/>
                <w:lang w:val="en-US"/>
              </w:rPr>
              <w:t>4</w:t>
            </w:r>
            <w:r w:rsidRPr="002D0191">
              <w:rPr>
                <w:rFonts w:ascii="Arial Narrow" w:hAnsi="Arial Narrow" w:cs="Arial"/>
                <w:color w:val="000000"/>
                <w:kern w:val="24"/>
                <w:sz w:val="20"/>
                <w:szCs w:val="32"/>
                <w:vertAlign w:val="superscript"/>
                <w:lang w:val="en-US"/>
              </w:rPr>
              <w:t>th</w:t>
            </w:r>
            <w:r w:rsidR="00CA489E">
              <w:rPr>
                <w:rFonts w:ascii="Arial Narrow" w:hAnsi="Arial Narrow" w:cs="Arial"/>
                <w:color w:val="000000"/>
                <w:kern w:val="24"/>
                <w:sz w:val="20"/>
                <w:szCs w:val="32"/>
                <w:lang w:val="en-US"/>
              </w:rPr>
              <w:t xml:space="preserve"> </w:t>
            </w:r>
            <w:r w:rsidR="00CA489E">
              <w:rPr>
                <w:rFonts w:ascii="Arial Narrow" w:hAnsi="Arial Narrow"/>
                <w:sz w:val="20"/>
              </w:rPr>
              <w:t>quarter</w:t>
            </w:r>
            <w:r w:rsidRPr="002D0191">
              <w:rPr>
                <w:rFonts w:ascii="Arial Narrow" w:hAnsi="Arial Narrow" w:cs="Arial"/>
                <w:color w:val="000000"/>
                <w:kern w:val="24"/>
                <w:sz w:val="20"/>
                <w:szCs w:val="32"/>
                <w:lang w:val="en-US"/>
              </w:rPr>
              <w:t xml:space="preserve"> 2011 (delay is possible)</w:t>
            </w:r>
          </w:p>
        </w:tc>
      </w:tr>
      <w:tr w:rsidR="00CA489E" w:rsidRPr="00F74597" w:rsidTr="008B21B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87" w:type="dxa"/>
          <w:trHeight w:val="228"/>
        </w:trPr>
        <w:tc>
          <w:tcPr>
            <w:tcW w:w="3922" w:type="dxa"/>
            <w:gridSpan w:val="2"/>
            <w:tcBorders>
              <w:top w:val="single" w:sz="4" w:space="0" w:color="auto"/>
              <w:left w:val="single" w:sz="4" w:space="0" w:color="auto"/>
              <w:bottom w:val="single" w:sz="4" w:space="0" w:color="auto"/>
              <w:right w:val="single" w:sz="4" w:space="0" w:color="auto"/>
            </w:tcBorders>
          </w:tcPr>
          <w:p w:rsidR="00CA489E" w:rsidRPr="00CA489E" w:rsidRDefault="002D0191" w:rsidP="000A7B4B">
            <w:pPr>
              <w:keepNext/>
              <w:spacing w:before="60" w:after="60"/>
              <w:rPr>
                <w:rFonts w:ascii="Arial Narrow" w:hAnsi="Arial Narrow" w:cs="Arial"/>
                <w:color w:val="000000"/>
                <w:kern w:val="24"/>
                <w:sz w:val="20"/>
                <w:szCs w:val="32"/>
                <w:lang w:val="en-US"/>
              </w:rPr>
            </w:pPr>
            <w:r w:rsidRPr="002D0191">
              <w:rPr>
                <w:rFonts w:ascii="Arial Narrow" w:hAnsi="Arial Narrow" w:cs="Arial"/>
                <w:color w:val="000000"/>
                <w:kern w:val="24"/>
                <w:sz w:val="20"/>
                <w:szCs w:val="32"/>
                <w:lang w:val="en-US"/>
              </w:rPr>
              <w:t xml:space="preserve">REN becomes shareholder of CASC.EU. </w:t>
            </w:r>
          </w:p>
        </w:tc>
        <w:tc>
          <w:tcPr>
            <w:tcW w:w="1984" w:type="dxa"/>
            <w:gridSpan w:val="2"/>
            <w:tcBorders>
              <w:top w:val="single" w:sz="4" w:space="0" w:color="auto"/>
              <w:left w:val="single" w:sz="4" w:space="0" w:color="auto"/>
              <w:bottom w:val="single" w:sz="4" w:space="0" w:color="auto"/>
              <w:right w:val="single" w:sz="4" w:space="0" w:color="auto"/>
            </w:tcBorders>
          </w:tcPr>
          <w:p w:rsidR="00CA489E" w:rsidRPr="00CA489E" w:rsidRDefault="002D0191" w:rsidP="004A514A">
            <w:pPr>
              <w:keepNext/>
              <w:spacing w:before="60" w:after="60"/>
              <w:jc w:val="center"/>
              <w:rPr>
                <w:rFonts w:ascii="Arial Narrow" w:hAnsi="Arial Narrow" w:cs="Arial"/>
                <w:color w:val="000000"/>
                <w:kern w:val="24"/>
                <w:sz w:val="20"/>
                <w:szCs w:val="32"/>
                <w:lang w:val="en-US"/>
              </w:rPr>
            </w:pPr>
            <w:r w:rsidRPr="002D0191">
              <w:rPr>
                <w:rFonts w:ascii="Arial Narrow" w:hAnsi="Arial Narrow" w:cs="Arial"/>
                <w:color w:val="000000"/>
                <w:kern w:val="24"/>
                <w:sz w:val="20"/>
                <w:szCs w:val="32"/>
                <w:lang w:val="en-US"/>
              </w:rPr>
              <w:t>ERSE, REN and CASC.EU</w:t>
            </w:r>
          </w:p>
        </w:tc>
        <w:tc>
          <w:tcPr>
            <w:tcW w:w="2501" w:type="dxa"/>
            <w:gridSpan w:val="2"/>
            <w:tcBorders>
              <w:top w:val="single" w:sz="4" w:space="0" w:color="auto"/>
              <w:left w:val="single" w:sz="4" w:space="0" w:color="auto"/>
              <w:bottom w:val="single" w:sz="4" w:space="0" w:color="auto"/>
              <w:right w:val="single" w:sz="4" w:space="0" w:color="auto"/>
            </w:tcBorders>
          </w:tcPr>
          <w:p w:rsidR="00822AF7" w:rsidRDefault="002D0191">
            <w:pPr>
              <w:keepNext/>
              <w:spacing w:before="60" w:after="60"/>
              <w:jc w:val="center"/>
              <w:rPr>
                <w:rFonts w:ascii="Arial Narrow" w:hAnsi="Arial Narrow" w:cs="Arial"/>
                <w:color w:val="000000"/>
                <w:kern w:val="24"/>
                <w:sz w:val="20"/>
                <w:szCs w:val="32"/>
                <w:lang w:val="en-US"/>
              </w:rPr>
            </w:pPr>
            <w:r w:rsidRPr="002D0191">
              <w:rPr>
                <w:rFonts w:ascii="Arial Narrow" w:hAnsi="Arial Narrow" w:cs="Arial"/>
                <w:color w:val="000000"/>
                <w:kern w:val="24"/>
                <w:sz w:val="20"/>
                <w:szCs w:val="32"/>
                <w:lang w:val="en-US"/>
              </w:rPr>
              <w:t>Depending on previous step (around 2</w:t>
            </w:r>
            <w:r w:rsidRPr="002D0191">
              <w:rPr>
                <w:rFonts w:ascii="Arial Narrow" w:hAnsi="Arial Narrow" w:cs="Arial"/>
                <w:color w:val="000000"/>
                <w:kern w:val="24"/>
                <w:sz w:val="20"/>
                <w:szCs w:val="32"/>
                <w:vertAlign w:val="superscript"/>
                <w:lang w:val="en-US"/>
              </w:rPr>
              <w:t>nd</w:t>
            </w:r>
            <w:r w:rsidR="00CA489E">
              <w:rPr>
                <w:rFonts w:ascii="Arial Narrow" w:hAnsi="Arial Narrow" w:cs="Arial"/>
                <w:color w:val="000000"/>
                <w:kern w:val="24"/>
                <w:sz w:val="20"/>
                <w:szCs w:val="32"/>
                <w:lang w:val="en-US"/>
              </w:rPr>
              <w:t xml:space="preserve"> </w:t>
            </w:r>
            <w:r w:rsidR="00CA489E">
              <w:rPr>
                <w:rFonts w:ascii="Arial Narrow" w:hAnsi="Arial Narrow"/>
                <w:sz w:val="20"/>
              </w:rPr>
              <w:t>quarter</w:t>
            </w:r>
            <w:r w:rsidRPr="002D0191">
              <w:rPr>
                <w:rFonts w:ascii="Arial Narrow" w:hAnsi="Arial Narrow" w:cs="Arial"/>
                <w:color w:val="000000"/>
                <w:kern w:val="24"/>
                <w:sz w:val="20"/>
                <w:szCs w:val="32"/>
                <w:lang w:val="en-US"/>
              </w:rPr>
              <w:t xml:space="preserve"> 2012)</w:t>
            </w:r>
          </w:p>
        </w:tc>
      </w:tr>
      <w:tr w:rsidR="00CA489E" w:rsidRPr="00F74597" w:rsidTr="008B21B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87" w:type="dxa"/>
          <w:trHeight w:val="228"/>
        </w:trPr>
        <w:tc>
          <w:tcPr>
            <w:tcW w:w="3922" w:type="dxa"/>
            <w:gridSpan w:val="2"/>
            <w:tcBorders>
              <w:top w:val="single" w:sz="4" w:space="0" w:color="auto"/>
              <w:left w:val="single" w:sz="4" w:space="0" w:color="auto"/>
              <w:bottom w:val="single" w:sz="4" w:space="0" w:color="auto"/>
              <w:right w:val="single" w:sz="4" w:space="0" w:color="auto"/>
            </w:tcBorders>
          </w:tcPr>
          <w:p w:rsidR="00CA489E" w:rsidRPr="00CA489E" w:rsidRDefault="002D0191" w:rsidP="000A7B4B">
            <w:pPr>
              <w:keepNext/>
              <w:spacing w:before="60" w:after="60"/>
              <w:rPr>
                <w:rFonts w:ascii="Arial Narrow" w:hAnsi="Arial Narrow" w:cs="Arial"/>
                <w:color w:val="000000"/>
                <w:kern w:val="24"/>
                <w:sz w:val="20"/>
                <w:szCs w:val="32"/>
                <w:lang w:val="en-US"/>
              </w:rPr>
            </w:pPr>
            <w:r w:rsidRPr="002D0191">
              <w:rPr>
                <w:rFonts w:ascii="Arial Narrow" w:hAnsi="Arial Narrow" w:cs="Arial"/>
                <w:color w:val="000000"/>
                <w:kern w:val="24"/>
                <w:sz w:val="20"/>
                <w:szCs w:val="32"/>
                <w:lang w:val="en-US"/>
              </w:rPr>
              <w:t xml:space="preserve">IPE long term coordinated products to be auctioned by CASC.EU </w:t>
            </w:r>
          </w:p>
        </w:tc>
        <w:tc>
          <w:tcPr>
            <w:tcW w:w="1984" w:type="dxa"/>
            <w:gridSpan w:val="2"/>
            <w:tcBorders>
              <w:top w:val="single" w:sz="4" w:space="0" w:color="auto"/>
              <w:left w:val="single" w:sz="4" w:space="0" w:color="auto"/>
              <w:bottom w:val="single" w:sz="4" w:space="0" w:color="auto"/>
              <w:right w:val="single" w:sz="4" w:space="0" w:color="auto"/>
            </w:tcBorders>
          </w:tcPr>
          <w:p w:rsidR="00CA489E" w:rsidRPr="00CA489E" w:rsidRDefault="002D0191" w:rsidP="004A514A">
            <w:pPr>
              <w:keepNext/>
              <w:spacing w:before="60" w:after="60"/>
              <w:jc w:val="center"/>
              <w:rPr>
                <w:rFonts w:ascii="Arial Narrow" w:hAnsi="Arial Narrow" w:cs="Arial"/>
                <w:color w:val="000000"/>
                <w:kern w:val="24"/>
                <w:sz w:val="20"/>
                <w:szCs w:val="32"/>
                <w:lang w:val="en-US"/>
              </w:rPr>
            </w:pPr>
            <w:r w:rsidRPr="002D0191">
              <w:rPr>
                <w:rFonts w:ascii="Arial Narrow" w:hAnsi="Arial Narrow" w:cs="Arial"/>
                <w:color w:val="000000"/>
                <w:kern w:val="24"/>
                <w:sz w:val="20"/>
                <w:szCs w:val="32"/>
                <w:lang w:val="en-US"/>
              </w:rPr>
              <w:t>CASC.EU and TSOs</w:t>
            </w:r>
          </w:p>
        </w:tc>
        <w:tc>
          <w:tcPr>
            <w:tcW w:w="2501" w:type="dxa"/>
            <w:gridSpan w:val="2"/>
            <w:tcBorders>
              <w:top w:val="single" w:sz="4" w:space="0" w:color="auto"/>
              <w:left w:val="single" w:sz="4" w:space="0" w:color="auto"/>
              <w:bottom w:val="single" w:sz="4" w:space="0" w:color="auto"/>
              <w:right w:val="single" w:sz="4" w:space="0" w:color="auto"/>
            </w:tcBorders>
          </w:tcPr>
          <w:p w:rsidR="00822AF7" w:rsidRDefault="002D0191">
            <w:pPr>
              <w:keepNext/>
              <w:spacing w:before="60" w:after="60"/>
              <w:jc w:val="center"/>
              <w:rPr>
                <w:rFonts w:ascii="Arial Narrow" w:hAnsi="Arial Narrow" w:cs="Arial"/>
                <w:color w:val="000000"/>
                <w:kern w:val="24"/>
                <w:sz w:val="20"/>
                <w:szCs w:val="32"/>
                <w:lang w:val="en-US"/>
              </w:rPr>
            </w:pPr>
            <w:r w:rsidRPr="002D0191">
              <w:rPr>
                <w:rFonts w:ascii="Arial Narrow" w:hAnsi="Arial Narrow" w:cs="Arial"/>
                <w:color w:val="000000"/>
                <w:kern w:val="24"/>
                <w:sz w:val="20"/>
                <w:szCs w:val="32"/>
                <w:lang w:val="en-US"/>
              </w:rPr>
              <w:t>Dependi</w:t>
            </w:r>
            <w:r w:rsidR="00CA489E">
              <w:rPr>
                <w:rFonts w:ascii="Arial Narrow" w:hAnsi="Arial Narrow" w:cs="Arial"/>
                <w:color w:val="000000"/>
                <w:kern w:val="24"/>
                <w:sz w:val="20"/>
                <w:szCs w:val="32"/>
                <w:lang w:val="en-US"/>
              </w:rPr>
              <w:t xml:space="preserve">ng on previous step (around </w:t>
            </w:r>
            <w:r w:rsidRPr="002D0191">
              <w:rPr>
                <w:rFonts w:ascii="Arial Narrow" w:hAnsi="Arial Narrow" w:cs="Arial"/>
                <w:color w:val="000000"/>
                <w:kern w:val="24"/>
                <w:sz w:val="20"/>
                <w:szCs w:val="32"/>
                <w:lang w:val="en-US"/>
              </w:rPr>
              <w:t>3</w:t>
            </w:r>
            <w:r w:rsidRPr="002D0191">
              <w:rPr>
                <w:rFonts w:ascii="Arial Narrow" w:hAnsi="Arial Narrow" w:cs="Arial"/>
                <w:color w:val="000000"/>
                <w:kern w:val="24"/>
                <w:sz w:val="20"/>
                <w:szCs w:val="32"/>
                <w:vertAlign w:val="superscript"/>
                <w:lang w:val="en-US"/>
              </w:rPr>
              <w:t>rd</w:t>
            </w:r>
            <w:r w:rsidR="00CA489E">
              <w:rPr>
                <w:rFonts w:ascii="Arial Narrow" w:hAnsi="Arial Narrow" w:cs="Arial"/>
                <w:color w:val="000000"/>
                <w:kern w:val="24"/>
                <w:sz w:val="20"/>
                <w:szCs w:val="32"/>
                <w:lang w:val="en-US"/>
              </w:rPr>
              <w:t xml:space="preserve"> </w:t>
            </w:r>
            <w:r w:rsidR="00CA489E">
              <w:rPr>
                <w:rFonts w:ascii="Arial Narrow" w:hAnsi="Arial Narrow"/>
                <w:sz w:val="20"/>
              </w:rPr>
              <w:t>quarter</w:t>
            </w:r>
            <w:r w:rsidRPr="002D0191">
              <w:rPr>
                <w:rFonts w:ascii="Arial Narrow" w:hAnsi="Arial Narrow" w:cs="Arial"/>
                <w:color w:val="000000"/>
                <w:kern w:val="24"/>
                <w:sz w:val="20"/>
                <w:szCs w:val="32"/>
                <w:lang w:val="en-US"/>
              </w:rPr>
              <w:t xml:space="preserve"> 2012)</w:t>
            </w:r>
          </w:p>
        </w:tc>
      </w:tr>
    </w:tbl>
    <w:p w:rsidR="00CA489E" w:rsidRDefault="00CA489E" w:rsidP="001643DB">
      <w:pPr>
        <w:rPr>
          <w:lang w:val="en-US"/>
        </w:rPr>
      </w:pPr>
      <w:r>
        <w:rPr>
          <w:lang w:val="en-US"/>
        </w:rPr>
        <w:t xml:space="preserve"> </w:t>
      </w:r>
    </w:p>
    <w:bookmarkEnd w:id="12"/>
    <w:bookmarkEnd w:id="13"/>
    <w:p w:rsidR="00CA489E" w:rsidRDefault="00CA489E" w:rsidP="001643DB">
      <w:pPr>
        <w:rPr>
          <w:lang w:val="en-US"/>
        </w:rPr>
      </w:pPr>
    </w:p>
    <w:p w:rsidR="00CA489E" w:rsidRDefault="00CA489E" w:rsidP="001643DB">
      <w:pPr>
        <w:pStyle w:val="Ttulo3"/>
      </w:pPr>
      <w:bookmarkStart w:id="14" w:name="_Toc293416710"/>
      <w:r>
        <w:t xml:space="preserve">Deliverable I.2 Day-ahead: </w:t>
      </w:r>
      <w:r w:rsidRPr="00FF624D">
        <w:rPr>
          <w:bCs/>
          <w:lang w:val="en-US"/>
        </w:rPr>
        <w:t>Single European price market coupling</w:t>
      </w:r>
      <w:bookmarkEnd w:id="14"/>
    </w:p>
    <w:p w:rsidR="00CA489E" w:rsidRDefault="00CA489E" w:rsidP="001643DB"/>
    <w:p w:rsidR="00CA489E" w:rsidRDefault="00CA489E" w:rsidP="005E3E62">
      <w:r>
        <w:t xml:space="preserve">The target model for the day-ahead congestion management by 2015 is Price Coupling, which is planned to be implemented between MIBEL and CWE after the implementation of ATC-based market coupling within CWE. </w:t>
      </w:r>
      <w:proofErr w:type="spellStart"/>
      <w:r>
        <w:t>NordPool</w:t>
      </w:r>
      <w:proofErr w:type="spellEnd"/>
      <w:r>
        <w:t xml:space="preserve"> has also entered in this particular initiative with EPEX Spot and OMEL to integrate the SW, the CWE and the Nordic region. </w:t>
      </w:r>
    </w:p>
    <w:p w:rsidR="00CA489E" w:rsidRDefault="00CA489E" w:rsidP="005E3E62">
      <w:r>
        <w:t xml:space="preserve">This day-ahead target model requires harmonised gate closure time, compatible bids, single pricing algorithm and sharing of all bid data between PX. This model establishes reference prices for transmission rights with financial settlement and financial contracts. </w:t>
      </w:r>
    </w:p>
    <w:p w:rsidR="00CA489E" w:rsidRDefault="00CA489E" w:rsidP="005E3E62"/>
    <w:p w:rsidR="00CA489E" w:rsidRDefault="00CA489E" w:rsidP="005E3E62">
      <w:r>
        <w:t>The implementation of DA price coupling between MIBEL and CWE would mean implicit allocation of capacities (as foreseen in the target model) in the two borders of the SW region.</w:t>
      </w:r>
    </w:p>
    <w:p w:rsidR="00CA489E" w:rsidRDefault="00CA489E" w:rsidP="001643DB"/>
    <w:p w:rsidR="00CA489E" w:rsidRDefault="00CA489E" w:rsidP="003743C8">
      <w:r>
        <w:t xml:space="preserve">EU-wide issues that may delay the coupling between the SW and CWE regions are: </w:t>
      </w:r>
    </w:p>
    <w:p w:rsidR="00CA489E" w:rsidRDefault="00CA489E" w:rsidP="00AF4BBE">
      <w:pPr>
        <w:pStyle w:val="Prrafodelista"/>
        <w:numPr>
          <w:ilvl w:val="0"/>
          <w:numId w:val="31"/>
        </w:numPr>
      </w:pPr>
      <w:r>
        <w:t>Governance of the EU-wide price coupling.</w:t>
      </w:r>
    </w:p>
    <w:p w:rsidR="00CA489E" w:rsidRDefault="00CA489E" w:rsidP="00AF4BBE">
      <w:pPr>
        <w:pStyle w:val="Prrafodelista"/>
        <w:numPr>
          <w:ilvl w:val="0"/>
          <w:numId w:val="31"/>
        </w:numPr>
      </w:pPr>
      <w:r>
        <w:t>Ongoing work within the NWE region</w:t>
      </w:r>
    </w:p>
    <w:p w:rsidR="00CA489E" w:rsidRDefault="00CA489E" w:rsidP="00AF4BBE">
      <w:pPr>
        <w:pStyle w:val="Prrafodelista"/>
        <w:numPr>
          <w:ilvl w:val="0"/>
          <w:numId w:val="31"/>
        </w:numPr>
      </w:pPr>
      <w:r>
        <w:t>Losses and firmness on DC cables</w:t>
      </w:r>
    </w:p>
    <w:p w:rsidR="00CA489E" w:rsidRDefault="00CA489E" w:rsidP="005D129B">
      <w:pPr>
        <w:pStyle w:val="Prrafodelista"/>
        <w:numPr>
          <w:ilvl w:val="0"/>
          <w:numId w:val="31"/>
        </w:numPr>
      </w:pPr>
      <w:r>
        <w:t>Priority extension: The SW region will be ready to couple with CWE/NWE in July 2012. The region will advance as fast as possible and will put pressure at European level by showing its readiness to couple.</w:t>
      </w:r>
      <w:r w:rsidRPr="005D129B">
        <w:t xml:space="preserve"> </w:t>
      </w:r>
    </w:p>
    <w:p w:rsidR="00CA489E" w:rsidRDefault="00CA489E" w:rsidP="001643DB"/>
    <w:p w:rsidR="00CA489E" w:rsidRPr="003743C8" w:rsidRDefault="00CA489E" w:rsidP="001643DB">
      <w:pPr>
        <w:rPr>
          <w:lang w:val="en-US"/>
        </w:rPr>
      </w:pPr>
      <w:r w:rsidRPr="003743C8">
        <w:rPr>
          <w:lang w:val="en-US"/>
        </w:rPr>
        <w:t>Timetable:</w:t>
      </w:r>
    </w:p>
    <w:p w:rsidR="00CA489E" w:rsidRDefault="00CA489E" w:rsidP="001643DB"/>
    <w:p w:rsidR="00CA489E" w:rsidRDefault="00CA489E" w:rsidP="001643DB"/>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
        <w:gridCol w:w="3818"/>
        <w:gridCol w:w="104"/>
        <w:gridCol w:w="1880"/>
        <w:gridCol w:w="104"/>
        <w:gridCol w:w="2397"/>
        <w:gridCol w:w="104"/>
      </w:tblGrid>
      <w:tr w:rsidR="00CA489E" w:rsidTr="008B21B6">
        <w:trPr>
          <w:gridAfter w:val="1"/>
          <w:wAfter w:w="104" w:type="dxa"/>
          <w:jc w:val="center"/>
        </w:trPr>
        <w:tc>
          <w:tcPr>
            <w:tcW w:w="8407" w:type="dxa"/>
            <w:gridSpan w:val="6"/>
            <w:shd w:val="clear" w:color="auto" w:fill="336798"/>
          </w:tcPr>
          <w:p w:rsidR="00CA489E" w:rsidRDefault="00CA489E" w:rsidP="000F4579">
            <w:pPr>
              <w:pStyle w:val="table01"/>
            </w:pPr>
            <w:bookmarkStart w:id="15" w:name="_Toc294259444"/>
            <w:r>
              <w:lastRenderedPageBreak/>
              <w:t xml:space="preserve">DELIVERABLE I.2 Day-ahead: </w:t>
            </w:r>
            <w:r w:rsidRPr="00D97F8B">
              <w:t>Single European price market coupling</w:t>
            </w:r>
            <w:bookmarkEnd w:id="15"/>
          </w:p>
        </w:tc>
      </w:tr>
      <w:tr w:rsidR="00CA489E" w:rsidTr="008B21B6">
        <w:trPr>
          <w:gridAfter w:val="1"/>
          <w:wAfter w:w="104" w:type="dxa"/>
          <w:jc w:val="center"/>
        </w:trPr>
        <w:tc>
          <w:tcPr>
            <w:tcW w:w="3922" w:type="dxa"/>
            <w:gridSpan w:val="2"/>
            <w:shd w:val="clear" w:color="auto" w:fill="336798"/>
          </w:tcPr>
          <w:p w:rsidR="00CA489E" w:rsidRDefault="00CA489E" w:rsidP="000F4579">
            <w:pPr>
              <w:keepNext/>
              <w:spacing w:before="40" w:after="40"/>
              <w:jc w:val="center"/>
              <w:rPr>
                <w:rFonts w:ascii="Arial Narrow" w:hAnsi="Arial Narrow"/>
                <w:b/>
                <w:color w:val="FFFFFF"/>
                <w:sz w:val="20"/>
              </w:rPr>
            </w:pPr>
            <w:r>
              <w:rPr>
                <w:rFonts w:ascii="Arial Narrow" w:hAnsi="Arial Narrow"/>
                <w:b/>
                <w:color w:val="FFFFFF"/>
                <w:sz w:val="20"/>
              </w:rPr>
              <w:t>ACTION</w:t>
            </w:r>
          </w:p>
        </w:tc>
        <w:tc>
          <w:tcPr>
            <w:tcW w:w="1984" w:type="dxa"/>
            <w:gridSpan w:val="2"/>
            <w:shd w:val="clear" w:color="auto" w:fill="336798"/>
          </w:tcPr>
          <w:p w:rsidR="00CA489E" w:rsidRDefault="00CA489E" w:rsidP="000F4579">
            <w:pPr>
              <w:keepNext/>
              <w:spacing w:before="40" w:after="40"/>
              <w:jc w:val="center"/>
              <w:rPr>
                <w:rFonts w:ascii="Arial Narrow" w:hAnsi="Arial Narrow"/>
                <w:b/>
                <w:color w:val="FFFFFF"/>
                <w:sz w:val="20"/>
              </w:rPr>
            </w:pPr>
            <w:r>
              <w:rPr>
                <w:rFonts w:ascii="Arial Narrow" w:hAnsi="Arial Narrow"/>
                <w:b/>
                <w:color w:val="FFFFFF"/>
                <w:sz w:val="20"/>
              </w:rPr>
              <w:t>RESPONSIBLE</w:t>
            </w:r>
          </w:p>
        </w:tc>
        <w:tc>
          <w:tcPr>
            <w:tcW w:w="2501" w:type="dxa"/>
            <w:gridSpan w:val="2"/>
            <w:shd w:val="clear" w:color="auto" w:fill="336798"/>
          </w:tcPr>
          <w:p w:rsidR="00CA489E" w:rsidRDefault="00CA489E" w:rsidP="000F4579">
            <w:pPr>
              <w:keepNext/>
              <w:spacing w:before="40" w:after="40"/>
              <w:jc w:val="center"/>
              <w:rPr>
                <w:rFonts w:ascii="Arial Narrow" w:hAnsi="Arial Narrow"/>
                <w:b/>
                <w:color w:val="FFFFFF"/>
                <w:sz w:val="20"/>
              </w:rPr>
            </w:pPr>
            <w:r>
              <w:rPr>
                <w:rFonts w:ascii="Arial Narrow" w:hAnsi="Arial Narrow"/>
                <w:b/>
                <w:color w:val="FFFFFF"/>
                <w:sz w:val="20"/>
              </w:rPr>
              <w:t>DEADLINE</w:t>
            </w:r>
          </w:p>
        </w:tc>
      </w:tr>
      <w:tr w:rsidR="00CA489E" w:rsidTr="008B21B6">
        <w:trPr>
          <w:gridAfter w:val="1"/>
          <w:wAfter w:w="104" w:type="dxa"/>
          <w:cantSplit/>
          <w:trHeight w:val="228"/>
          <w:jc w:val="center"/>
        </w:trPr>
        <w:tc>
          <w:tcPr>
            <w:tcW w:w="3922" w:type="dxa"/>
            <w:gridSpan w:val="2"/>
            <w:shd w:val="clear" w:color="auto" w:fill="FFFFFF"/>
            <w:vAlign w:val="center"/>
          </w:tcPr>
          <w:p w:rsidR="00CA489E" w:rsidRDefault="00CA489E" w:rsidP="000F4579">
            <w:pPr>
              <w:keepNext/>
              <w:spacing w:before="60" w:after="60"/>
              <w:jc w:val="left"/>
              <w:rPr>
                <w:rFonts w:ascii="Arial Narrow" w:hAnsi="Arial Narrow"/>
                <w:sz w:val="20"/>
              </w:rPr>
            </w:pPr>
            <w:r>
              <w:rPr>
                <w:rFonts w:ascii="Arial Narrow" w:hAnsi="Arial Narrow"/>
                <w:sz w:val="20"/>
              </w:rPr>
              <w:t>Project Launch decision</w:t>
            </w:r>
          </w:p>
        </w:tc>
        <w:tc>
          <w:tcPr>
            <w:tcW w:w="1984" w:type="dxa"/>
            <w:gridSpan w:val="2"/>
            <w:shd w:val="clear" w:color="auto" w:fill="FFFFFF"/>
            <w:vAlign w:val="center"/>
          </w:tcPr>
          <w:p w:rsidR="00CA489E" w:rsidRDefault="00CA489E" w:rsidP="000F4579">
            <w:pPr>
              <w:keepNext/>
              <w:spacing w:before="60" w:after="60"/>
              <w:jc w:val="center"/>
              <w:rPr>
                <w:rFonts w:ascii="Arial Narrow" w:hAnsi="Arial Narrow"/>
                <w:sz w:val="20"/>
                <w:lang w:val="en-US"/>
              </w:rPr>
            </w:pPr>
            <w:r>
              <w:rPr>
                <w:rFonts w:ascii="Arial Narrow" w:hAnsi="Arial Narrow"/>
                <w:sz w:val="20"/>
                <w:lang w:val="en-US"/>
              </w:rPr>
              <w:t>IG (TSOs &amp; PXs)</w:t>
            </w:r>
          </w:p>
        </w:tc>
        <w:tc>
          <w:tcPr>
            <w:tcW w:w="2501" w:type="dxa"/>
            <w:gridSpan w:val="2"/>
            <w:shd w:val="clear" w:color="auto" w:fill="FFFFFF"/>
            <w:vAlign w:val="center"/>
          </w:tcPr>
          <w:p w:rsidR="00CA489E" w:rsidRPr="005E3E62" w:rsidRDefault="00CA489E" w:rsidP="000F4579">
            <w:pPr>
              <w:keepNext/>
              <w:spacing w:before="40" w:after="40"/>
              <w:jc w:val="center"/>
              <w:rPr>
                <w:rFonts w:ascii="Arial Narrow" w:hAnsi="Arial Narrow"/>
                <w:sz w:val="20"/>
              </w:rPr>
            </w:pPr>
            <w:r>
              <w:rPr>
                <w:rFonts w:ascii="Arial Narrow" w:hAnsi="Arial Narrow"/>
                <w:sz w:val="20"/>
              </w:rPr>
              <w:t>(</w:t>
            </w:r>
            <w:r w:rsidRPr="005E3E62">
              <w:rPr>
                <w:rFonts w:ascii="Arial Narrow" w:hAnsi="Arial Narrow"/>
                <w:sz w:val="20"/>
              </w:rPr>
              <w:t>After CWE ATC-based market coupling</w:t>
            </w:r>
            <w:r>
              <w:rPr>
                <w:rFonts w:ascii="Arial Narrow" w:hAnsi="Arial Narrow"/>
                <w:sz w:val="20"/>
              </w:rPr>
              <w:t>)</w:t>
            </w:r>
            <w:r w:rsidRPr="005E3E62">
              <w:rPr>
                <w:rFonts w:ascii="Arial Narrow" w:hAnsi="Arial Narrow"/>
                <w:sz w:val="20"/>
              </w:rPr>
              <w:t xml:space="preserve"> </w:t>
            </w:r>
          </w:p>
          <w:p w:rsidR="00CA489E" w:rsidRPr="005E3E62" w:rsidRDefault="00CA489E" w:rsidP="000F4579">
            <w:pPr>
              <w:keepNext/>
              <w:spacing w:before="40" w:after="40"/>
              <w:jc w:val="center"/>
              <w:rPr>
                <w:rFonts w:ascii="Arial Narrow" w:hAnsi="Arial Narrow"/>
                <w:sz w:val="20"/>
              </w:rPr>
            </w:pPr>
            <w:r w:rsidRPr="005E3E62">
              <w:rPr>
                <w:rFonts w:ascii="Arial Narrow" w:hAnsi="Arial Narrow"/>
                <w:sz w:val="20"/>
              </w:rPr>
              <w:t>November 2010</w:t>
            </w:r>
          </w:p>
        </w:tc>
      </w:tr>
      <w:tr w:rsidR="00CA489E" w:rsidTr="008B21B6">
        <w:trPr>
          <w:gridAfter w:val="1"/>
          <w:wAfter w:w="104" w:type="dxa"/>
          <w:cantSplit/>
          <w:trHeight w:val="228"/>
          <w:jc w:val="center"/>
        </w:trPr>
        <w:tc>
          <w:tcPr>
            <w:tcW w:w="3922" w:type="dxa"/>
            <w:gridSpan w:val="2"/>
            <w:shd w:val="clear" w:color="auto" w:fill="FFFFFF"/>
          </w:tcPr>
          <w:p w:rsidR="00CA489E" w:rsidRDefault="00CA489E" w:rsidP="000F4579">
            <w:pPr>
              <w:keepNext/>
              <w:spacing w:before="60" w:after="60"/>
              <w:jc w:val="left"/>
              <w:rPr>
                <w:rFonts w:ascii="Arial Narrow" w:hAnsi="Arial Narrow"/>
                <w:sz w:val="20"/>
              </w:rPr>
            </w:pPr>
            <w:r>
              <w:rPr>
                <w:rFonts w:ascii="Arial Narrow" w:hAnsi="Arial Narrow"/>
                <w:sz w:val="20"/>
              </w:rPr>
              <w:t>Preparation of regulatory changes</w:t>
            </w:r>
          </w:p>
        </w:tc>
        <w:tc>
          <w:tcPr>
            <w:tcW w:w="1984" w:type="dxa"/>
            <w:gridSpan w:val="2"/>
            <w:shd w:val="clear" w:color="auto" w:fill="FFFFFF"/>
            <w:vAlign w:val="center"/>
          </w:tcPr>
          <w:p w:rsidR="00CA489E" w:rsidRDefault="00CA489E" w:rsidP="000F4579">
            <w:pPr>
              <w:keepNext/>
              <w:spacing w:before="60" w:after="60"/>
              <w:jc w:val="center"/>
              <w:rPr>
                <w:rFonts w:ascii="Arial Narrow" w:hAnsi="Arial Narrow"/>
                <w:sz w:val="20"/>
                <w:lang w:val="en-US"/>
              </w:rPr>
            </w:pPr>
            <w:r>
              <w:rPr>
                <w:rFonts w:ascii="Arial Narrow" w:hAnsi="Arial Narrow"/>
                <w:sz w:val="20"/>
                <w:lang w:val="en-US"/>
              </w:rPr>
              <w:t>IG</w:t>
            </w:r>
          </w:p>
        </w:tc>
        <w:tc>
          <w:tcPr>
            <w:tcW w:w="2501" w:type="dxa"/>
            <w:gridSpan w:val="2"/>
            <w:shd w:val="clear" w:color="auto" w:fill="FFFFFF"/>
            <w:vAlign w:val="center"/>
          </w:tcPr>
          <w:p w:rsidR="00CA489E" w:rsidRPr="005E3E62" w:rsidRDefault="00CA489E" w:rsidP="00255CE1">
            <w:pPr>
              <w:keepNext/>
              <w:spacing w:before="40" w:after="40"/>
              <w:jc w:val="center"/>
              <w:rPr>
                <w:rFonts w:ascii="Arial Narrow" w:hAnsi="Arial Narrow"/>
                <w:sz w:val="20"/>
              </w:rPr>
            </w:pPr>
            <w:r>
              <w:rPr>
                <w:rFonts w:ascii="Arial Narrow" w:hAnsi="Arial Narrow"/>
                <w:sz w:val="20"/>
              </w:rPr>
              <w:t>4</w:t>
            </w:r>
            <w:r w:rsidR="002D0191" w:rsidRPr="002D0191">
              <w:rPr>
                <w:rFonts w:ascii="Arial Narrow" w:hAnsi="Arial Narrow"/>
                <w:sz w:val="20"/>
                <w:vertAlign w:val="superscript"/>
              </w:rPr>
              <w:t>th</w:t>
            </w:r>
            <w:r>
              <w:rPr>
                <w:rFonts w:ascii="Arial Narrow" w:hAnsi="Arial Narrow"/>
                <w:sz w:val="20"/>
              </w:rPr>
              <w:t xml:space="preserve"> </w:t>
            </w:r>
            <w:r>
              <w:rPr>
                <w:rFonts w:ascii="Arial Narrow" w:hAnsi="Arial Narrow"/>
                <w:sz w:val="20"/>
                <w:lang w:val="de-DE"/>
              </w:rPr>
              <w:t>quarter 2011</w:t>
            </w:r>
          </w:p>
        </w:tc>
      </w:tr>
      <w:tr w:rsidR="00CA489E" w:rsidTr="008B21B6">
        <w:trPr>
          <w:gridAfter w:val="1"/>
          <w:wAfter w:w="104" w:type="dxa"/>
          <w:cantSplit/>
          <w:trHeight w:val="228"/>
          <w:jc w:val="center"/>
        </w:trPr>
        <w:tc>
          <w:tcPr>
            <w:tcW w:w="3922" w:type="dxa"/>
            <w:gridSpan w:val="2"/>
            <w:shd w:val="clear" w:color="auto" w:fill="FFFFFF"/>
          </w:tcPr>
          <w:p w:rsidR="00CA489E" w:rsidRDefault="00CA489E" w:rsidP="00255CE1">
            <w:pPr>
              <w:keepNext/>
              <w:tabs>
                <w:tab w:val="center" w:pos="1853"/>
              </w:tabs>
              <w:spacing w:before="60" w:after="60"/>
              <w:rPr>
                <w:rFonts w:ascii="Arial Narrow" w:hAnsi="Arial Narrow"/>
                <w:sz w:val="20"/>
              </w:rPr>
            </w:pPr>
            <w:r>
              <w:rPr>
                <w:rFonts w:ascii="Arial Narrow" w:hAnsi="Arial Narrow"/>
                <w:sz w:val="20"/>
              </w:rPr>
              <w:t>Legal approval of regulatory changes (including cost-sharing, single algorithm and IFE rules considering day-ahead price coupling in IFE)</w:t>
            </w:r>
          </w:p>
        </w:tc>
        <w:tc>
          <w:tcPr>
            <w:tcW w:w="1984" w:type="dxa"/>
            <w:gridSpan w:val="2"/>
            <w:shd w:val="clear" w:color="auto" w:fill="FFFFFF"/>
            <w:vAlign w:val="center"/>
          </w:tcPr>
          <w:p w:rsidR="00CA489E" w:rsidRDefault="00CA489E" w:rsidP="00255CE1">
            <w:pPr>
              <w:keepNext/>
              <w:jc w:val="center"/>
              <w:rPr>
                <w:rFonts w:ascii="Arial Narrow" w:hAnsi="Arial Narrow"/>
                <w:sz w:val="20"/>
              </w:rPr>
            </w:pPr>
            <w:r>
              <w:rPr>
                <w:rFonts w:ascii="Arial Narrow" w:hAnsi="Arial Narrow"/>
                <w:sz w:val="20"/>
              </w:rPr>
              <w:t>IGs of SW region and NWE</w:t>
            </w:r>
          </w:p>
        </w:tc>
        <w:tc>
          <w:tcPr>
            <w:tcW w:w="2501" w:type="dxa"/>
            <w:gridSpan w:val="2"/>
            <w:shd w:val="clear" w:color="auto" w:fill="FFFFFF"/>
            <w:vAlign w:val="center"/>
          </w:tcPr>
          <w:p w:rsidR="00CA489E" w:rsidRPr="005E3E62" w:rsidRDefault="00CA489E" w:rsidP="000F4579">
            <w:pPr>
              <w:keepNext/>
              <w:spacing w:before="40" w:after="40"/>
              <w:jc w:val="center"/>
              <w:rPr>
                <w:rFonts w:ascii="Arial Narrow" w:hAnsi="Arial Narrow"/>
                <w:sz w:val="20"/>
              </w:rPr>
            </w:pPr>
            <w:r>
              <w:rPr>
                <w:rFonts w:ascii="Arial Narrow" w:hAnsi="Arial Narrow"/>
                <w:sz w:val="20"/>
              </w:rPr>
              <w:t>2</w:t>
            </w:r>
            <w:r w:rsidRPr="00B152C5">
              <w:rPr>
                <w:rFonts w:ascii="Arial Narrow" w:hAnsi="Arial Narrow"/>
                <w:sz w:val="20"/>
                <w:vertAlign w:val="superscript"/>
              </w:rPr>
              <w:t>nd</w:t>
            </w:r>
            <w:r>
              <w:rPr>
                <w:rFonts w:ascii="Arial Narrow" w:hAnsi="Arial Narrow"/>
                <w:sz w:val="20"/>
              </w:rPr>
              <w:t xml:space="preserve"> </w:t>
            </w:r>
            <w:r>
              <w:rPr>
                <w:rFonts w:ascii="Arial Narrow" w:hAnsi="Arial Narrow"/>
                <w:sz w:val="20"/>
                <w:lang w:val="de-DE"/>
              </w:rPr>
              <w:t>quarter 2012</w:t>
            </w:r>
          </w:p>
        </w:tc>
      </w:tr>
      <w:tr w:rsidR="00CA489E" w:rsidTr="008B21B6">
        <w:trPr>
          <w:gridAfter w:val="1"/>
          <w:wAfter w:w="104" w:type="dxa"/>
          <w:cantSplit/>
          <w:trHeight w:val="228"/>
          <w:jc w:val="center"/>
        </w:trPr>
        <w:tc>
          <w:tcPr>
            <w:tcW w:w="3922" w:type="dxa"/>
            <w:gridSpan w:val="2"/>
            <w:shd w:val="clear" w:color="auto" w:fill="FFFFFF"/>
          </w:tcPr>
          <w:p w:rsidR="00CA489E" w:rsidRDefault="00CA489E" w:rsidP="007D7E1C">
            <w:pPr>
              <w:keepNext/>
              <w:spacing w:before="60" w:after="60"/>
              <w:jc w:val="left"/>
              <w:rPr>
                <w:rFonts w:ascii="Arial Narrow" w:hAnsi="Arial Narrow"/>
                <w:sz w:val="20"/>
              </w:rPr>
            </w:pPr>
            <w:r>
              <w:rPr>
                <w:rFonts w:ascii="Arial Narrow" w:hAnsi="Arial Narrow"/>
                <w:sz w:val="20"/>
              </w:rPr>
              <w:t>Testing phase (operational changes)</w:t>
            </w:r>
          </w:p>
        </w:tc>
        <w:tc>
          <w:tcPr>
            <w:tcW w:w="1984" w:type="dxa"/>
            <w:gridSpan w:val="2"/>
            <w:shd w:val="clear" w:color="auto" w:fill="FFFFFF"/>
            <w:vAlign w:val="center"/>
          </w:tcPr>
          <w:p w:rsidR="00CA489E" w:rsidRDefault="00CA489E" w:rsidP="007D7E1C">
            <w:pPr>
              <w:keepNext/>
              <w:spacing w:before="60" w:after="60"/>
              <w:jc w:val="center"/>
              <w:rPr>
                <w:rFonts w:ascii="Arial Narrow" w:hAnsi="Arial Narrow"/>
                <w:sz w:val="20"/>
              </w:rPr>
            </w:pPr>
            <w:r>
              <w:rPr>
                <w:rFonts w:ascii="Arial Narrow" w:hAnsi="Arial Narrow"/>
                <w:sz w:val="20"/>
                <w:lang w:val="en-US"/>
              </w:rPr>
              <w:t>IG (TSOs &amp; PXs)</w:t>
            </w:r>
          </w:p>
        </w:tc>
        <w:tc>
          <w:tcPr>
            <w:tcW w:w="2501" w:type="dxa"/>
            <w:gridSpan w:val="2"/>
            <w:shd w:val="clear" w:color="auto" w:fill="FFFFFF"/>
            <w:vAlign w:val="center"/>
          </w:tcPr>
          <w:p w:rsidR="00CA489E" w:rsidRPr="005E3E62" w:rsidRDefault="00CA489E" w:rsidP="007D7E1C">
            <w:pPr>
              <w:keepNext/>
              <w:spacing w:before="40" w:after="40"/>
              <w:jc w:val="center"/>
              <w:rPr>
                <w:rFonts w:ascii="Arial Narrow" w:hAnsi="Arial Narrow"/>
                <w:sz w:val="20"/>
              </w:rPr>
            </w:pPr>
            <w:r>
              <w:rPr>
                <w:rFonts w:ascii="Arial Narrow" w:hAnsi="Arial Narrow"/>
                <w:sz w:val="20"/>
              </w:rPr>
              <w:t>2</w:t>
            </w:r>
            <w:r w:rsidRPr="00255CE1">
              <w:rPr>
                <w:rFonts w:ascii="Arial Narrow" w:hAnsi="Arial Narrow"/>
                <w:sz w:val="20"/>
                <w:vertAlign w:val="superscript"/>
              </w:rPr>
              <w:t>nd</w:t>
            </w:r>
            <w:r>
              <w:rPr>
                <w:rFonts w:ascii="Arial Narrow" w:hAnsi="Arial Narrow"/>
                <w:sz w:val="20"/>
              </w:rPr>
              <w:t xml:space="preserve"> </w:t>
            </w:r>
            <w:r>
              <w:rPr>
                <w:rFonts w:ascii="Arial Narrow" w:hAnsi="Arial Narrow"/>
                <w:sz w:val="20"/>
                <w:lang w:val="de-DE"/>
              </w:rPr>
              <w:t>quarter 2012</w:t>
            </w:r>
          </w:p>
        </w:tc>
      </w:tr>
      <w:tr w:rsidR="00CA489E" w:rsidTr="008B21B6">
        <w:trPr>
          <w:gridAfter w:val="1"/>
          <w:wAfter w:w="104" w:type="dxa"/>
          <w:cantSplit/>
          <w:trHeight w:val="228"/>
          <w:jc w:val="center"/>
        </w:trPr>
        <w:tc>
          <w:tcPr>
            <w:tcW w:w="3922" w:type="dxa"/>
            <w:gridSpan w:val="2"/>
            <w:shd w:val="clear" w:color="auto" w:fill="FFFFFF"/>
            <w:vAlign w:val="center"/>
          </w:tcPr>
          <w:p w:rsidR="00CA489E" w:rsidRDefault="00CA489E" w:rsidP="000F4579">
            <w:pPr>
              <w:keepNext/>
              <w:spacing w:before="40" w:after="40"/>
              <w:jc w:val="left"/>
              <w:rPr>
                <w:rFonts w:ascii="Arial Narrow" w:hAnsi="Arial Narrow"/>
                <w:sz w:val="20"/>
              </w:rPr>
            </w:pPr>
            <w:r>
              <w:rPr>
                <w:rFonts w:ascii="Arial Narrow" w:hAnsi="Arial Narrow"/>
                <w:sz w:val="20"/>
              </w:rPr>
              <w:t>MIBEL GCT moved to 12:00 CET.</w:t>
            </w:r>
          </w:p>
          <w:p w:rsidR="00CA489E" w:rsidRDefault="00CA489E" w:rsidP="000F4579">
            <w:pPr>
              <w:keepNext/>
              <w:spacing w:before="40" w:after="40"/>
              <w:jc w:val="left"/>
              <w:rPr>
                <w:rFonts w:ascii="Arial Narrow" w:hAnsi="Arial Narrow"/>
                <w:sz w:val="20"/>
              </w:rPr>
            </w:pPr>
            <w:r>
              <w:rPr>
                <w:rFonts w:ascii="Arial Narrow" w:hAnsi="Arial Narrow"/>
                <w:sz w:val="20"/>
              </w:rPr>
              <w:t>Implementation of single price coupling algorithm</w:t>
            </w:r>
          </w:p>
        </w:tc>
        <w:tc>
          <w:tcPr>
            <w:tcW w:w="1984" w:type="dxa"/>
            <w:gridSpan w:val="2"/>
            <w:shd w:val="clear" w:color="auto" w:fill="FFFFFF"/>
            <w:vAlign w:val="center"/>
          </w:tcPr>
          <w:p w:rsidR="00CA489E" w:rsidRDefault="00CA489E" w:rsidP="000F4579">
            <w:pPr>
              <w:keepNext/>
              <w:tabs>
                <w:tab w:val="left" w:pos="1680"/>
              </w:tabs>
              <w:spacing w:before="40" w:after="40"/>
              <w:jc w:val="center"/>
              <w:rPr>
                <w:rFonts w:ascii="Arial Narrow" w:hAnsi="Arial Narrow"/>
                <w:sz w:val="20"/>
              </w:rPr>
            </w:pPr>
            <w:r>
              <w:rPr>
                <w:rFonts w:ascii="Arial Narrow" w:hAnsi="Arial Narrow"/>
                <w:sz w:val="20"/>
              </w:rPr>
              <w:t>IG (PXs)</w:t>
            </w:r>
          </w:p>
        </w:tc>
        <w:tc>
          <w:tcPr>
            <w:tcW w:w="2501" w:type="dxa"/>
            <w:gridSpan w:val="2"/>
            <w:shd w:val="clear" w:color="auto" w:fill="FFFFFF"/>
            <w:vAlign w:val="center"/>
          </w:tcPr>
          <w:p w:rsidR="00CA489E" w:rsidRPr="005E3E62" w:rsidRDefault="00CA489E" w:rsidP="000F4579">
            <w:pPr>
              <w:keepNext/>
              <w:spacing w:before="40" w:after="40"/>
              <w:jc w:val="center"/>
              <w:rPr>
                <w:rFonts w:ascii="Arial Narrow" w:hAnsi="Arial Narrow"/>
                <w:sz w:val="20"/>
              </w:rPr>
            </w:pPr>
            <w:r>
              <w:rPr>
                <w:rFonts w:ascii="Arial Narrow" w:hAnsi="Arial Narrow"/>
                <w:sz w:val="20"/>
              </w:rPr>
              <w:t>2</w:t>
            </w:r>
            <w:r w:rsidRPr="00B152C5">
              <w:rPr>
                <w:rFonts w:ascii="Arial Narrow" w:hAnsi="Arial Narrow"/>
                <w:sz w:val="20"/>
                <w:vertAlign w:val="superscript"/>
              </w:rPr>
              <w:t>nd</w:t>
            </w:r>
            <w:r>
              <w:rPr>
                <w:rFonts w:ascii="Arial Narrow" w:hAnsi="Arial Narrow"/>
                <w:sz w:val="20"/>
              </w:rPr>
              <w:t xml:space="preserve"> </w:t>
            </w:r>
            <w:r>
              <w:rPr>
                <w:rFonts w:ascii="Arial Narrow" w:hAnsi="Arial Narrow"/>
                <w:sz w:val="20"/>
                <w:lang w:val="de-DE"/>
              </w:rPr>
              <w:t>quarter 2012</w:t>
            </w:r>
          </w:p>
        </w:tc>
      </w:tr>
      <w:tr w:rsidR="00CA489E" w:rsidTr="008B21B6">
        <w:trPr>
          <w:gridAfter w:val="1"/>
          <w:wAfter w:w="104" w:type="dxa"/>
          <w:cantSplit/>
          <w:trHeight w:val="228"/>
          <w:jc w:val="center"/>
        </w:trPr>
        <w:tc>
          <w:tcPr>
            <w:tcW w:w="3922" w:type="dxa"/>
            <w:gridSpan w:val="2"/>
            <w:tcBorders>
              <w:bottom w:val="single" w:sz="4" w:space="0" w:color="auto"/>
            </w:tcBorders>
            <w:shd w:val="clear" w:color="auto" w:fill="FFFFFF"/>
            <w:vAlign w:val="center"/>
          </w:tcPr>
          <w:p w:rsidR="00CA489E" w:rsidRDefault="00CA489E" w:rsidP="000F4579">
            <w:pPr>
              <w:keepNext/>
              <w:spacing w:before="40" w:after="40"/>
              <w:jc w:val="left"/>
              <w:rPr>
                <w:rFonts w:ascii="Arial Narrow" w:hAnsi="Arial Narrow"/>
                <w:sz w:val="20"/>
              </w:rPr>
            </w:pPr>
            <w:r>
              <w:rPr>
                <w:rFonts w:ascii="Arial Narrow" w:hAnsi="Arial Narrow"/>
                <w:sz w:val="20"/>
              </w:rPr>
              <w:t>SW region ready to couple with CWE/NWE</w:t>
            </w:r>
          </w:p>
        </w:tc>
        <w:tc>
          <w:tcPr>
            <w:tcW w:w="1984" w:type="dxa"/>
            <w:gridSpan w:val="2"/>
            <w:tcBorders>
              <w:bottom w:val="single" w:sz="4" w:space="0" w:color="auto"/>
            </w:tcBorders>
            <w:shd w:val="clear" w:color="auto" w:fill="FFFFFF"/>
            <w:vAlign w:val="center"/>
          </w:tcPr>
          <w:p w:rsidR="00CA489E" w:rsidRDefault="00CA489E" w:rsidP="000F4579">
            <w:pPr>
              <w:keepNext/>
              <w:tabs>
                <w:tab w:val="left" w:pos="1680"/>
              </w:tabs>
              <w:spacing w:before="40" w:after="40"/>
              <w:jc w:val="center"/>
              <w:rPr>
                <w:rFonts w:ascii="Arial Narrow" w:hAnsi="Arial Narrow"/>
                <w:sz w:val="20"/>
              </w:rPr>
            </w:pPr>
            <w:r>
              <w:rPr>
                <w:rFonts w:ascii="Arial Narrow" w:hAnsi="Arial Narrow"/>
                <w:sz w:val="20"/>
              </w:rPr>
              <w:t>IG</w:t>
            </w:r>
          </w:p>
        </w:tc>
        <w:tc>
          <w:tcPr>
            <w:tcW w:w="2501" w:type="dxa"/>
            <w:gridSpan w:val="2"/>
            <w:tcBorders>
              <w:bottom w:val="single" w:sz="4" w:space="0" w:color="auto"/>
            </w:tcBorders>
            <w:shd w:val="clear" w:color="auto" w:fill="FFFFFF"/>
            <w:vAlign w:val="center"/>
          </w:tcPr>
          <w:p w:rsidR="00CA489E" w:rsidRPr="005E3E62" w:rsidRDefault="00CA489E" w:rsidP="000F4579">
            <w:pPr>
              <w:keepNext/>
              <w:spacing w:before="40" w:after="40"/>
              <w:jc w:val="center"/>
              <w:rPr>
                <w:rFonts w:ascii="Arial Narrow" w:hAnsi="Arial Narrow"/>
                <w:sz w:val="20"/>
              </w:rPr>
            </w:pPr>
            <w:r w:rsidRPr="005E3E62">
              <w:rPr>
                <w:rFonts w:ascii="Arial Narrow" w:hAnsi="Arial Narrow"/>
                <w:sz w:val="20"/>
              </w:rPr>
              <w:t>Jul 2012</w:t>
            </w:r>
          </w:p>
        </w:tc>
      </w:tr>
      <w:tr w:rsidR="00CA489E" w:rsidTr="008B21B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4" w:type="dxa"/>
          <w:trHeight w:val="228"/>
        </w:trPr>
        <w:tc>
          <w:tcPr>
            <w:tcW w:w="3922" w:type="dxa"/>
            <w:gridSpan w:val="2"/>
            <w:tcBorders>
              <w:top w:val="single" w:sz="4" w:space="0" w:color="auto"/>
              <w:left w:val="single" w:sz="4" w:space="0" w:color="auto"/>
              <w:bottom w:val="single" w:sz="4" w:space="0" w:color="auto"/>
              <w:right w:val="single" w:sz="4" w:space="0" w:color="auto"/>
            </w:tcBorders>
          </w:tcPr>
          <w:p w:rsidR="00822AF7" w:rsidRDefault="002D0191">
            <w:pPr>
              <w:keepNext/>
              <w:tabs>
                <w:tab w:val="center" w:pos="1853"/>
              </w:tabs>
              <w:spacing w:before="60" w:after="60"/>
              <w:rPr>
                <w:rFonts w:ascii="Arial Narrow" w:hAnsi="Arial Narrow"/>
                <w:sz w:val="20"/>
              </w:rPr>
            </w:pPr>
            <w:r w:rsidRPr="002D0191">
              <w:rPr>
                <w:rFonts w:ascii="Arial Narrow" w:hAnsi="Arial Narrow"/>
                <w:sz w:val="20"/>
              </w:rPr>
              <w:t xml:space="preserve">Market coupling go-live in NWE </w:t>
            </w:r>
          </w:p>
        </w:tc>
        <w:tc>
          <w:tcPr>
            <w:tcW w:w="1984" w:type="dxa"/>
            <w:gridSpan w:val="2"/>
            <w:tcBorders>
              <w:top w:val="single" w:sz="4" w:space="0" w:color="auto"/>
              <w:left w:val="single" w:sz="4" w:space="0" w:color="auto"/>
              <w:bottom w:val="single" w:sz="4" w:space="0" w:color="auto"/>
              <w:right w:val="single" w:sz="4" w:space="0" w:color="auto"/>
            </w:tcBorders>
          </w:tcPr>
          <w:p w:rsidR="00822AF7" w:rsidRDefault="002D0191">
            <w:pPr>
              <w:keepNext/>
              <w:tabs>
                <w:tab w:val="left" w:pos="1680"/>
                <w:tab w:val="center" w:pos="1853"/>
              </w:tabs>
              <w:spacing w:before="60" w:after="60"/>
              <w:jc w:val="center"/>
              <w:rPr>
                <w:rFonts w:ascii="Arial Narrow" w:hAnsi="Arial Narrow"/>
                <w:sz w:val="20"/>
              </w:rPr>
            </w:pPr>
            <w:r w:rsidRPr="002D0191">
              <w:rPr>
                <w:rFonts w:ascii="Arial Narrow" w:hAnsi="Arial Narrow"/>
                <w:sz w:val="20"/>
              </w:rPr>
              <w:t>NWE</w:t>
            </w:r>
          </w:p>
        </w:tc>
        <w:tc>
          <w:tcPr>
            <w:tcW w:w="2501" w:type="dxa"/>
            <w:gridSpan w:val="2"/>
            <w:tcBorders>
              <w:top w:val="single" w:sz="4" w:space="0" w:color="auto"/>
              <w:left w:val="single" w:sz="4" w:space="0" w:color="auto"/>
              <w:bottom w:val="single" w:sz="4" w:space="0" w:color="auto"/>
              <w:right w:val="single" w:sz="4" w:space="0" w:color="auto"/>
            </w:tcBorders>
          </w:tcPr>
          <w:p w:rsidR="00822AF7" w:rsidRDefault="002D0191">
            <w:pPr>
              <w:keepNext/>
              <w:tabs>
                <w:tab w:val="center" w:pos="1853"/>
              </w:tabs>
              <w:spacing w:before="60" w:after="60"/>
              <w:jc w:val="center"/>
              <w:rPr>
                <w:rFonts w:ascii="Arial Narrow" w:hAnsi="Arial Narrow"/>
                <w:sz w:val="20"/>
              </w:rPr>
            </w:pPr>
            <w:r w:rsidRPr="002D0191">
              <w:rPr>
                <w:rFonts w:ascii="Arial Narrow" w:hAnsi="Arial Narrow"/>
                <w:sz w:val="20"/>
              </w:rPr>
              <w:t>Dec 2012</w:t>
            </w:r>
          </w:p>
        </w:tc>
      </w:tr>
    </w:tbl>
    <w:p w:rsidR="00CA489E" w:rsidRDefault="00CA489E" w:rsidP="001643DB">
      <w:pPr>
        <w:ind w:left="426"/>
        <w:rPr>
          <w:sz w:val="18"/>
        </w:rPr>
      </w:pPr>
    </w:p>
    <w:p w:rsidR="00CA489E" w:rsidRDefault="00CA489E" w:rsidP="001643DB">
      <w:pPr>
        <w:ind w:left="426"/>
        <w:rPr>
          <w:sz w:val="18"/>
        </w:rPr>
      </w:pPr>
    </w:p>
    <w:p w:rsidR="00CA489E" w:rsidRDefault="00CA489E" w:rsidP="001643DB"/>
    <w:p w:rsidR="00CA489E" w:rsidRDefault="00CA489E">
      <w:pPr>
        <w:keepLines w:val="0"/>
        <w:jc w:val="left"/>
        <w:rPr>
          <w:rFonts w:cs="Arial"/>
          <w:b/>
          <w:bCs w:val="0"/>
          <w:sz w:val="24"/>
          <w:szCs w:val="26"/>
        </w:rPr>
      </w:pPr>
      <w:bookmarkStart w:id="16" w:name="_Toc293416711"/>
    </w:p>
    <w:p w:rsidR="00CA489E" w:rsidRDefault="00CA489E" w:rsidP="001643DB">
      <w:pPr>
        <w:pStyle w:val="Ttulo3"/>
      </w:pPr>
      <w:r>
        <w:t>Deliverable I.3 Intraday</w:t>
      </w:r>
      <w:bookmarkEnd w:id="16"/>
    </w:p>
    <w:p w:rsidR="00CA489E" w:rsidRDefault="00CA489E" w:rsidP="001643DB"/>
    <w:p w:rsidR="00CA489E" w:rsidRDefault="00CA489E" w:rsidP="00F95C02">
      <w:pPr>
        <w:rPr>
          <w:lang w:val="en-US"/>
        </w:rPr>
      </w:pPr>
      <w:r>
        <w:t>The SW region developed a public consultation on intraday cross-border capacity allocation methods (finished in July 2008) following TSOs’ and PXs’ proposals. However, the answers received do not allow concluding a clear view by stakeholders.  The IG agreed on the fact that a new scheme for CB intraday trading is not a priority for the region especially when the SW region is more advanced in this context that other regions as intraday market based allocation methods are in place.</w:t>
      </w:r>
      <w:r>
        <w:rPr>
          <w:lang w:val="en-US"/>
        </w:rPr>
        <w:t xml:space="preserve">Indeed, between Spain and Portugal, intraday cross-border capacity is implicitly auctioned through 6 sessions. Between France and Spain, the intra-day cross-border capacity is explicitly auctioned through two sessions. </w:t>
      </w:r>
    </w:p>
    <w:p w:rsidR="00CA489E" w:rsidRDefault="00CA489E" w:rsidP="00F95C02">
      <w:pPr>
        <w:rPr>
          <w:lang w:val="en-US"/>
        </w:rPr>
      </w:pPr>
    </w:p>
    <w:p w:rsidR="00CA489E" w:rsidRDefault="00CA489E" w:rsidP="00F95C02">
      <w:pPr>
        <w:rPr>
          <w:lang w:val="en-US"/>
        </w:rPr>
      </w:pPr>
      <w:r>
        <w:rPr>
          <w:lang w:val="en-US"/>
        </w:rPr>
        <w:t>The target for the intraday market presented during the 5</w:t>
      </w:r>
      <w:r>
        <w:rPr>
          <w:vertAlign w:val="superscript"/>
          <w:lang w:val="en-US"/>
        </w:rPr>
        <w:t>th</w:t>
      </w:r>
      <w:r>
        <w:rPr>
          <w:lang w:val="en-US"/>
        </w:rPr>
        <w:t xml:space="preserve"> SG for regional feedback is divided in two layers. According to the PCG proposal, the first layer, that represents the interregional level, is handled by implicit continuous trading possible up to H-1. However, the intraday approach should not impact the ability of the TSO to ensure grid security.</w:t>
      </w:r>
    </w:p>
    <w:p w:rsidR="00CA489E" w:rsidRDefault="00CA489E" w:rsidP="00F95C02">
      <w:pPr>
        <w:rPr>
          <w:lang w:val="en-US"/>
        </w:rPr>
      </w:pPr>
    </w:p>
    <w:p w:rsidR="00CA489E" w:rsidRDefault="00CA489E" w:rsidP="00F95C02">
      <w:pPr>
        <w:rPr>
          <w:lang w:val="en-US"/>
        </w:rPr>
      </w:pPr>
      <w:r>
        <w:rPr>
          <w:lang w:val="en-US"/>
        </w:rPr>
        <w:t>In the same proposal, the second layer that represents the intra regional level, was not defined and left to the RCC choice.</w:t>
      </w:r>
    </w:p>
    <w:p w:rsidR="00CA489E" w:rsidRDefault="00CA489E" w:rsidP="00F95C02">
      <w:pPr>
        <w:rPr>
          <w:lang w:val="en-US"/>
        </w:rPr>
      </w:pPr>
    </w:p>
    <w:p w:rsidR="00CA489E" w:rsidRDefault="00CA489E" w:rsidP="00F95C02">
      <w:pPr>
        <w:rPr>
          <w:lang w:val="en-US"/>
        </w:rPr>
      </w:pPr>
      <w:r>
        <w:rPr>
          <w:lang w:val="en-US"/>
        </w:rPr>
        <w:t>The schedule of this deliverable was subject to the definition of the target model by the FG on Congestion Management and Capacity Allocation. In addition, the Florence Forum launched a project chaired by ENTSO-E to develop the target model for intraday trade as well as means for its implementation where appropriate.</w:t>
      </w:r>
    </w:p>
    <w:p w:rsidR="00CA489E" w:rsidRPr="00F95C02" w:rsidRDefault="00CA489E" w:rsidP="00953B44">
      <w:pPr>
        <w:rPr>
          <w:lang w:val="en-US"/>
        </w:rPr>
      </w:pPr>
    </w:p>
    <w:p w:rsidR="00CA489E" w:rsidRPr="00F95C02" w:rsidRDefault="00CA489E" w:rsidP="00F95C02">
      <w:r w:rsidRPr="00F95C02">
        <w:lastRenderedPageBreak/>
        <w:t>The t</w:t>
      </w:r>
      <w:proofErr w:type="spellStart"/>
      <w:r w:rsidRPr="00F95C02">
        <w:rPr>
          <w:lang w:val="en-US"/>
        </w:rPr>
        <w:t>arget</w:t>
      </w:r>
      <w:proofErr w:type="spellEnd"/>
      <w:r w:rsidRPr="00F95C02">
        <w:rPr>
          <w:lang w:val="en-US"/>
        </w:rPr>
        <w:t xml:space="preserve"> model for intraday according to the FG CACM: implicit continuous trading </w:t>
      </w:r>
      <w:r w:rsidRPr="00F95C02">
        <w:t>with reliable pricing of intraday transmission capacity reflecting congestion</w:t>
      </w:r>
      <w:r w:rsidRPr="00F95C02">
        <w:rPr>
          <w:lang w:val="en-US"/>
        </w:rPr>
        <w:t>. R</w:t>
      </w:r>
      <w:proofErr w:type="spellStart"/>
      <w:r w:rsidRPr="00F95C02">
        <w:t>egional</w:t>
      </w:r>
      <w:proofErr w:type="spellEnd"/>
      <w:r w:rsidRPr="00F95C02">
        <w:t xml:space="preserve"> auctions may complement the implicit continuous allocation mechanism. Where implemented, implicit auctions should have adequate gate closures to provide the necessary flexibility to the market and be coordinated with, and linked to, the pan-European platform.</w:t>
      </w:r>
      <w:r>
        <w:t xml:space="preserve"> The challenge of the region is to make compatible implicit auctions and implicit continuous trade.</w:t>
      </w:r>
    </w:p>
    <w:p w:rsidR="00CA489E" w:rsidRDefault="00CA489E" w:rsidP="00F95C02"/>
    <w:p w:rsidR="00CA489E" w:rsidRDefault="00CA489E" w:rsidP="00F95C02">
      <w:r>
        <w:t>TSOs will deliver the CMM and PXs will prepare the SOB function under the coordination of AESAG. In this context, the pilot project of NWE is a key milestone. Given the tight timing, the TSOs and PXs of the SW region will be updated by the TSOs and PXs of NWE on how developing the CMM and the SOBF for implementing the solution within the SW region by end of 2012.</w:t>
      </w:r>
    </w:p>
    <w:p w:rsidR="00CA489E" w:rsidRDefault="00CA489E" w:rsidP="001643DB"/>
    <w:p w:rsidR="00CA489E" w:rsidRDefault="00CA489E" w:rsidP="004C2BA2">
      <w:r>
        <w:t xml:space="preserve">EU-wide issues that may delay the integration between the SW and CWE regions are: </w:t>
      </w:r>
    </w:p>
    <w:p w:rsidR="00CA489E" w:rsidRDefault="00CA489E" w:rsidP="004C2BA2">
      <w:pPr>
        <w:pStyle w:val="Prrafodelista"/>
        <w:numPr>
          <w:ilvl w:val="0"/>
          <w:numId w:val="31"/>
        </w:numPr>
      </w:pPr>
      <w:r>
        <w:t>Definition of the SOBF and CMM.</w:t>
      </w:r>
    </w:p>
    <w:p w:rsidR="00CA489E" w:rsidRDefault="00CA489E" w:rsidP="004C2BA2">
      <w:pPr>
        <w:pStyle w:val="Prrafodelista"/>
        <w:numPr>
          <w:ilvl w:val="0"/>
          <w:numId w:val="31"/>
        </w:numPr>
      </w:pPr>
      <w:r>
        <w:t>Way to assess the capacity in continuous trading</w:t>
      </w:r>
    </w:p>
    <w:p w:rsidR="00CA489E" w:rsidRDefault="00CA489E" w:rsidP="004C2BA2">
      <w:pPr>
        <w:pStyle w:val="Prrafodelista"/>
        <w:numPr>
          <w:ilvl w:val="0"/>
          <w:numId w:val="31"/>
        </w:numPr>
      </w:pPr>
      <w:r>
        <w:t>Lack of clarity and harmonisation needs concerning internal and cross-border regulation amongst member states e.g. nomination rules</w:t>
      </w:r>
    </w:p>
    <w:p w:rsidR="00CA489E" w:rsidRDefault="00CA489E" w:rsidP="004C2BA2">
      <w:pPr>
        <w:pStyle w:val="Prrafodelista"/>
        <w:numPr>
          <w:ilvl w:val="0"/>
          <w:numId w:val="31"/>
        </w:numPr>
      </w:pPr>
      <w:r>
        <w:t>Extension priority</w:t>
      </w:r>
    </w:p>
    <w:p w:rsidR="00CA489E" w:rsidRDefault="00CA489E" w:rsidP="001643DB"/>
    <w:p w:rsidR="00CA489E" w:rsidRDefault="00CA489E" w:rsidP="001643DB">
      <w:r>
        <w:t>A local issue to be solved by MIBEL is the compatibility between continuous trading and implicit auctions. However, this will not delay the implementation of the Pan-European continuous intraday trade as it will be a second layer. The pan-European continuous allocation will be prioritised.</w:t>
      </w:r>
    </w:p>
    <w:p w:rsidR="00CA489E" w:rsidRDefault="00CA489E" w:rsidP="001643DB"/>
    <w:p w:rsidR="00CA489E" w:rsidRDefault="00CA489E" w:rsidP="001643DB">
      <w:r>
        <w:t xml:space="preserve">Another issue that must be taken into account is that some borders may accept OTC access to the CMM. </w:t>
      </w:r>
      <w:r w:rsidR="00800939">
        <w:t>However, CNE does not allow OTC access to the interconnection capacity of IPE and IFE.</w:t>
      </w:r>
    </w:p>
    <w:p w:rsidR="00CA489E" w:rsidRPr="00F95C02" w:rsidRDefault="00CA489E" w:rsidP="001643DB"/>
    <w:p w:rsidR="00CA489E" w:rsidRDefault="00CA489E" w:rsidP="001643DB">
      <w:pPr>
        <w:rPr>
          <w:lang w:val="en-US"/>
        </w:rPr>
      </w:pPr>
      <w:r w:rsidRPr="00BA0EEC">
        <w:rPr>
          <w:lang w:val="en-US"/>
        </w:rPr>
        <w:t>Timetable</w:t>
      </w:r>
      <w:r>
        <w:rPr>
          <w:lang w:val="en-US"/>
        </w:rPr>
        <w:t>:</w:t>
      </w:r>
    </w:p>
    <w:p w:rsidR="00CA489E" w:rsidRDefault="00CA489E" w:rsidP="001643DB">
      <w:pPr>
        <w:rPr>
          <w:lang w:val="en-US"/>
        </w:rPr>
      </w:pPr>
    </w:p>
    <w:tbl>
      <w:tblPr>
        <w:tblW w:w="0" w:type="auto"/>
        <w:jc w:val="center"/>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2"/>
        <w:gridCol w:w="1909"/>
        <w:gridCol w:w="2126"/>
      </w:tblGrid>
      <w:tr w:rsidR="00CA489E" w:rsidTr="00ED4B38">
        <w:trPr>
          <w:jc w:val="center"/>
        </w:trPr>
        <w:tc>
          <w:tcPr>
            <w:tcW w:w="8287" w:type="dxa"/>
            <w:gridSpan w:val="3"/>
            <w:shd w:val="clear" w:color="auto" w:fill="336798"/>
          </w:tcPr>
          <w:p w:rsidR="00CA489E" w:rsidRDefault="00CA489E" w:rsidP="000F4579">
            <w:pPr>
              <w:pStyle w:val="table01"/>
            </w:pPr>
            <w:bookmarkStart w:id="17" w:name="_Toc294259445"/>
            <w:r>
              <w:lastRenderedPageBreak/>
              <w:t>DELIVERABLE I.3 Intraday</w:t>
            </w:r>
            <w:bookmarkEnd w:id="17"/>
          </w:p>
        </w:tc>
      </w:tr>
      <w:tr w:rsidR="00CA489E" w:rsidTr="00ED4B38">
        <w:trPr>
          <w:jc w:val="center"/>
        </w:trPr>
        <w:tc>
          <w:tcPr>
            <w:tcW w:w="4252" w:type="dxa"/>
            <w:shd w:val="clear" w:color="auto" w:fill="336798"/>
          </w:tcPr>
          <w:p w:rsidR="00CA489E" w:rsidRDefault="00CA489E" w:rsidP="000F4579">
            <w:pPr>
              <w:keepNext/>
              <w:spacing w:before="40" w:after="40"/>
              <w:jc w:val="center"/>
              <w:rPr>
                <w:rFonts w:ascii="Arial Narrow" w:hAnsi="Arial Narrow"/>
                <w:b/>
                <w:color w:val="FFFFFF"/>
                <w:sz w:val="20"/>
              </w:rPr>
            </w:pPr>
            <w:r>
              <w:rPr>
                <w:rFonts w:ascii="Arial Narrow" w:hAnsi="Arial Narrow"/>
                <w:b/>
                <w:color w:val="FFFFFF"/>
                <w:sz w:val="20"/>
              </w:rPr>
              <w:t>ACTION</w:t>
            </w:r>
          </w:p>
        </w:tc>
        <w:tc>
          <w:tcPr>
            <w:tcW w:w="1909" w:type="dxa"/>
            <w:shd w:val="clear" w:color="auto" w:fill="336798"/>
          </w:tcPr>
          <w:p w:rsidR="00CA489E" w:rsidRDefault="00CA489E" w:rsidP="000F4579">
            <w:pPr>
              <w:keepNext/>
              <w:spacing w:before="40" w:after="40"/>
              <w:jc w:val="center"/>
              <w:rPr>
                <w:rFonts w:ascii="Arial Narrow" w:hAnsi="Arial Narrow"/>
                <w:b/>
                <w:color w:val="FFFFFF"/>
                <w:sz w:val="20"/>
              </w:rPr>
            </w:pPr>
            <w:r>
              <w:rPr>
                <w:rFonts w:ascii="Arial Narrow" w:hAnsi="Arial Narrow"/>
                <w:b/>
                <w:color w:val="FFFFFF"/>
                <w:sz w:val="20"/>
              </w:rPr>
              <w:t>RESPONSIBLE</w:t>
            </w:r>
          </w:p>
        </w:tc>
        <w:tc>
          <w:tcPr>
            <w:tcW w:w="2126" w:type="dxa"/>
            <w:shd w:val="clear" w:color="auto" w:fill="336798"/>
          </w:tcPr>
          <w:p w:rsidR="00CA489E" w:rsidRDefault="00CA489E" w:rsidP="000F4579">
            <w:pPr>
              <w:keepNext/>
              <w:spacing w:before="40" w:after="40"/>
              <w:jc w:val="center"/>
              <w:rPr>
                <w:rFonts w:ascii="Arial Narrow" w:hAnsi="Arial Narrow"/>
                <w:b/>
                <w:color w:val="FFFFFF"/>
                <w:sz w:val="20"/>
              </w:rPr>
            </w:pPr>
            <w:r>
              <w:rPr>
                <w:rFonts w:ascii="Arial Narrow" w:hAnsi="Arial Narrow"/>
                <w:b/>
                <w:color w:val="FFFFFF"/>
                <w:sz w:val="20"/>
              </w:rPr>
              <w:t>DEADLINE</w:t>
            </w:r>
          </w:p>
        </w:tc>
      </w:tr>
      <w:tr w:rsidR="00CA489E" w:rsidTr="00ED4B38">
        <w:trPr>
          <w:cantSplit/>
          <w:trHeight w:val="285"/>
          <w:jc w:val="center"/>
        </w:trPr>
        <w:tc>
          <w:tcPr>
            <w:tcW w:w="4252" w:type="dxa"/>
            <w:shd w:val="clear" w:color="auto" w:fill="FFFFFF"/>
          </w:tcPr>
          <w:p w:rsidR="00CA489E" w:rsidRDefault="00CA489E" w:rsidP="000F4579">
            <w:pPr>
              <w:keepNext/>
              <w:spacing w:before="60" w:after="60"/>
              <w:rPr>
                <w:rFonts w:ascii="Arial Narrow" w:hAnsi="Arial Narrow"/>
                <w:sz w:val="20"/>
                <w:lang w:val="en-US"/>
              </w:rPr>
            </w:pPr>
            <w:r>
              <w:rPr>
                <w:rFonts w:ascii="Arial Narrow" w:hAnsi="Arial Narrow"/>
                <w:sz w:val="20"/>
                <w:lang w:val="en-US"/>
              </w:rPr>
              <w:t xml:space="preserve">Agreement on a target model for the regional interconnections in accordance with </w:t>
            </w:r>
            <w:r>
              <w:rPr>
                <w:rFonts w:ascii="Arial Narrow" w:hAnsi="Arial Narrow"/>
                <w:sz w:val="20"/>
              </w:rPr>
              <w:t>the FG on Congestion Management and Capacity Allocation</w:t>
            </w:r>
          </w:p>
        </w:tc>
        <w:tc>
          <w:tcPr>
            <w:tcW w:w="1909" w:type="dxa"/>
            <w:shd w:val="clear" w:color="auto" w:fill="FFFFFF"/>
            <w:vAlign w:val="center"/>
          </w:tcPr>
          <w:p w:rsidR="00CA489E" w:rsidRPr="00F95C02" w:rsidRDefault="00CA489E" w:rsidP="000F4579">
            <w:pPr>
              <w:keepNext/>
              <w:spacing w:before="60" w:after="60"/>
              <w:jc w:val="center"/>
              <w:rPr>
                <w:rFonts w:ascii="Arial Narrow" w:hAnsi="Arial Narrow"/>
                <w:sz w:val="20"/>
              </w:rPr>
            </w:pPr>
            <w:r w:rsidRPr="00F95C02">
              <w:rPr>
                <w:rFonts w:ascii="Arial Narrow" w:hAnsi="Arial Narrow"/>
                <w:sz w:val="20"/>
              </w:rPr>
              <w:t>IG</w:t>
            </w:r>
          </w:p>
        </w:tc>
        <w:tc>
          <w:tcPr>
            <w:tcW w:w="2126" w:type="dxa"/>
            <w:shd w:val="clear" w:color="auto" w:fill="FFFFFF"/>
            <w:vAlign w:val="center"/>
          </w:tcPr>
          <w:p w:rsidR="00CA489E" w:rsidRPr="00F95C02" w:rsidRDefault="00CA489E" w:rsidP="000F7460">
            <w:pPr>
              <w:keepNext/>
              <w:spacing w:before="40" w:after="40"/>
              <w:jc w:val="center"/>
              <w:rPr>
                <w:rFonts w:ascii="Arial Narrow" w:hAnsi="Arial Narrow"/>
                <w:sz w:val="20"/>
              </w:rPr>
            </w:pPr>
            <w:r w:rsidRPr="00F95C02">
              <w:rPr>
                <w:rFonts w:ascii="Arial Narrow" w:hAnsi="Arial Narrow"/>
                <w:sz w:val="20"/>
              </w:rPr>
              <w:t>1</w:t>
            </w:r>
            <w:r w:rsidRPr="00F95C02">
              <w:rPr>
                <w:rFonts w:ascii="Arial Narrow" w:hAnsi="Arial Narrow"/>
                <w:sz w:val="20"/>
                <w:vertAlign w:val="superscript"/>
              </w:rPr>
              <w:t>st</w:t>
            </w:r>
            <w:r w:rsidRPr="00F95C02">
              <w:rPr>
                <w:rFonts w:ascii="Arial Narrow" w:hAnsi="Arial Narrow"/>
                <w:sz w:val="20"/>
              </w:rPr>
              <w:t xml:space="preserve"> quarter 2011 </w:t>
            </w:r>
          </w:p>
        </w:tc>
      </w:tr>
      <w:tr w:rsidR="00CA489E" w:rsidTr="00ED4B38">
        <w:trPr>
          <w:cantSplit/>
          <w:trHeight w:val="228"/>
          <w:jc w:val="center"/>
        </w:trPr>
        <w:tc>
          <w:tcPr>
            <w:tcW w:w="4252" w:type="dxa"/>
            <w:shd w:val="clear" w:color="auto" w:fill="FFFFFF"/>
          </w:tcPr>
          <w:p w:rsidR="00CA489E" w:rsidRDefault="00CA489E" w:rsidP="000F4579">
            <w:pPr>
              <w:keepNext/>
              <w:spacing w:before="60" w:after="60"/>
              <w:rPr>
                <w:rFonts w:ascii="Arial Narrow" w:hAnsi="Arial Narrow"/>
                <w:sz w:val="20"/>
              </w:rPr>
            </w:pPr>
            <w:r>
              <w:rPr>
                <w:rFonts w:ascii="Arial Narrow" w:hAnsi="Arial Narrow"/>
                <w:sz w:val="20"/>
              </w:rPr>
              <w:t>Consultation through SG.</w:t>
            </w:r>
          </w:p>
        </w:tc>
        <w:tc>
          <w:tcPr>
            <w:tcW w:w="1909" w:type="dxa"/>
            <w:shd w:val="clear" w:color="auto" w:fill="FFFFFF"/>
            <w:vAlign w:val="center"/>
          </w:tcPr>
          <w:p w:rsidR="00CA489E" w:rsidRPr="00F95C02" w:rsidRDefault="00CA489E" w:rsidP="000F4579">
            <w:pPr>
              <w:keepNext/>
              <w:spacing w:before="60" w:after="60"/>
              <w:jc w:val="center"/>
              <w:rPr>
                <w:rFonts w:ascii="Arial Narrow" w:hAnsi="Arial Narrow"/>
                <w:sz w:val="20"/>
              </w:rPr>
            </w:pPr>
            <w:r>
              <w:rPr>
                <w:rFonts w:ascii="Arial Narrow" w:hAnsi="Arial Narrow"/>
                <w:sz w:val="20"/>
              </w:rPr>
              <w:t>SG</w:t>
            </w:r>
          </w:p>
        </w:tc>
        <w:tc>
          <w:tcPr>
            <w:tcW w:w="2126" w:type="dxa"/>
            <w:shd w:val="clear" w:color="auto" w:fill="FFFFFF"/>
            <w:vAlign w:val="center"/>
          </w:tcPr>
          <w:p w:rsidR="00CA489E" w:rsidRDefault="00CA489E" w:rsidP="000F7460">
            <w:pPr>
              <w:keepNext/>
              <w:spacing w:before="40" w:after="40"/>
              <w:jc w:val="center"/>
              <w:rPr>
                <w:rFonts w:ascii="Arial Narrow" w:hAnsi="Arial Narrow"/>
                <w:sz w:val="20"/>
              </w:rPr>
            </w:pPr>
            <w:r>
              <w:rPr>
                <w:rFonts w:ascii="Arial Narrow" w:hAnsi="Arial Narrow"/>
                <w:sz w:val="20"/>
              </w:rPr>
              <w:t>3</w:t>
            </w:r>
            <w:r w:rsidRPr="0027626C">
              <w:rPr>
                <w:rFonts w:ascii="Arial Narrow" w:hAnsi="Arial Narrow"/>
                <w:sz w:val="20"/>
                <w:vertAlign w:val="superscript"/>
              </w:rPr>
              <w:t>rd</w:t>
            </w:r>
            <w:r>
              <w:rPr>
                <w:rFonts w:ascii="Arial Narrow" w:hAnsi="Arial Narrow"/>
                <w:sz w:val="20"/>
              </w:rPr>
              <w:t xml:space="preserve"> </w:t>
            </w:r>
            <w:r w:rsidRPr="00F95C02">
              <w:rPr>
                <w:rFonts w:ascii="Arial Narrow" w:hAnsi="Arial Narrow"/>
                <w:sz w:val="20"/>
              </w:rPr>
              <w:t>quarter 2011</w:t>
            </w:r>
            <w:r>
              <w:rPr>
                <w:rFonts w:ascii="Arial Narrow" w:hAnsi="Arial Narrow"/>
                <w:sz w:val="20"/>
              </w:rPr>
              <w:t xml:space="preserve"> </w:t>
            </w:r>
          </w:p>
        </w:tc>
      </w:tr>
      <w:tr w:rsidR="00CA489E" w:rsidTr="00ED4B38">
        <w:trPr>
          <w:cantSplit/>
          <w:trHeight w:val="228"/>
          <w:jc w:val="center"/>
        </w:trPr>
        <w:tc>
          <w:tcPr>
            <w:tcW w:w="4252" w:type="dxa"/>
            <w:shd w:val="clear" w:color="auto" w:fill="FFFFFF"/>
          </w:tcPr>
          <w:p w:rsidR="00CA489E" w:rsidRDefault="00CA489E" w:rsidP="00B959EE">
            <w:pPr>
              <w:keepNext/>
              <w:spacing w:before="60" w:after="60"/>
              <w:rPr>
                <w:rFonts w:ascii="Arial Narrow" w:hAnsi="Arial Narrow"/>
                <w:sz w:val="20"/>
              </w:rPr>
            </w:pPr>
            <w:r>
              <w:rPr>
                <w:rFonts w:ascii="Arial Narrow" w:hAnsi="Arial Narrow"/>
                <w:sz w:val="20"/>
              </w:rPr>
              <w:t>Compatibility analysis between MIBEL and French ID markets (what needs to be changed for continuous CB trade).</w:t>
            </w:r>
          </w:p>
          <w:p w:rsidR="00CA489E" w:rsidRDefault="00CA489E" w:rsidP="00B959EE">
            <w:pPr>
              <w:keepNext/>
              <w:spacing w:before="60" w:after="60"/>
              <w:rPr>
                <w:rFonts w:ascii="Arial Narrow" w:hAnsi="Arial Narrow"/>
                <w:sz w:val="20"/>
              </w:rPr>
            </w:pPr>
            <w:r w:rsidRPr="00F623CE">
              <w:rPr>
                <w:rFonts w:ascii="Arial Narrow" w:hAnsi="Arial Narrow"/>
                <w:sz w:val="20"/>
              </w:rPr>
              <w:t xml:space="preserve">Design phase and preparation of regulatory changes (in context of ENTSO-E – </w:t>
            </w:r>
            <w:proofErr w:type="spellStart"/>
            <w:r w:rsidRPr="00F623CE">
              <w:rPr>
                <w:rFonts w:ascii="Arial Narrow" w:hAnsi="Arial Narrow"/>
                <w:sz w:val="20"/>
              </w:rPr>
              <w:t>Europex</w:t>
            </w:r>
            <w:proofErr w:type="spellEnd"/>
            <w:r w:rsidRPr="00F623CE">
              <w:rPr>
                <w:rFonts w:ascii="Arial Narrow" w:hAnsi="Arial Narrow"/>
                <w:sz w:val="20"/>
              </w:rPr>
              <w:t xml:space="preserve"> work)</w:t>
            </w:r>
            <w:r>
              <w:rPr>
                <w:rFonts w:ascii="Arial Narrow" w:hAnsi="Arial Narrow"/>
                <w:sz w:val="20"/>
              </w:rPr>
              <w:t xml:space="preserve">. </w:t>
            </w:r>
          </w:p>
          <w:p w:rsidR="00CA489E" w:rsidRDefault="00CA489E" w:rsidP="00B959EE">
            <w:pPr>
              <w:keepNext/>
              <w:spacing w:before="60" w:after="60"/>
              <w:rPr>
                <w:rFonts w:ascii="Arial Narrow" w:hAnsi="Arial Narrow"/>
                <w:sz w:val="20"/>
              </w:rPr>
            </w:pPr>
            <w:r>
              <w:rPr>
                <w:rFonts w:ascii="Arial Narrow" w:hAnsi="Arial Narrow"/>
                <w:sz w:val="20"/>
              </w:rPr>
              <w:t xml:space="preserve">REE and REN </w:t>
            </w:r>
            <w:r w:rsidR="00F17C0E">
              <w:rPr>
                <w:rFonts w:ascii="Arial Narrow" w:hAnsi="Arial Narrow"/>
                <w:sz w:val="20"/>
              </w:rPr>
              <w:t xml:space="preserve">to participate in the </w:t>
            </w:r>
            <w:r>
              <w:rPr>
                <w:rFonts w:ascii="Arial Narrow" w:hAnsi="Arial Narrow"/>
                <w:sz w:val="20"/>
              </w:rPr>
              <w:t>develop</w:t>
            </w:r>
            <w:r w:rsidR="00F17C0E">
              <w:rPr>
                <w:rFonts w:ascii="Arial Narrow" w:hAnsi="Arial Narrow"/>
                <w:sz w:val="20"/>
              </w:rPr>
              <w:t>ment</w:t>
            </w:r>
            <w:r>
              <w:rPr>
                <w:rFonts w:ascii="Arial Narrow" w:hAnsi="Arial Narrow"/>
                <w:sz w:val="20"/>
              </w:rPr>
              <w:t xml:space="preserve"> </w:t>
            </w:r>
            <w:r w:rsidR="00F17C0E">
              <w:rPr>
                <w:rFonts w:ascii="Arial Narrow" w:hAnsi="Arial Narrow"/>
                <w:sz w:val="20"/>
              </w:rPr>
              <w:t xml:space="preserve">of </w:t>
            </w:r>
            <w:r>
              <w:rPr>
                <w:rFonts w:ascii="Arial Narrow" w:hAnsi="Arial Narrow"/>
                <w:sz w:val="20"/>
              </w:rPr>
              <w:t>the CMM</w:t>
            </w:r>
            <w:r w:rsidR="00F17C0E">
              <w:rPr>
                <w:rFonts w:ascii="Arial Narrow" w:hAnsi="Arial Narrow"/>
                <w:sz w:val="20"/>
              </w:rPr>
              <w:t xml:space="preserve"> with NWE TSOs</w:t>
            </w:r>
            <w:r>
              <w:rPr>
                <w:rFonts w:ascii="Arial Narrow" w:hAnsi="Arial Narrow"/>
                <w:sz w:val="20"/>
              </w:rPr>
              <w:t>.</w:t>
            </w:r>
          </w:p>
          <w:p w:rsidR="00CA489E" w:rsidRDefault="00CA489E" w:rsidP="00F17C0E">
            <w:pPr>
              <w:keepNext/>
              <w:spacing w:before="60" w:after="60"/>
              <w:rPr>
                <w:rFonts w:ascii="Arial Narrow" w:hAnsi="Arial Narrow"/>
                <w:sz w:val="20"/>
              </w:rPr>
            </w:pPr>
            <w:r>
              <w:rPr>
                <w:rFonts w:ascii="Arial Narrow" w:hAnsi="Arial Narrow"/>
                <w:sz w:val="20"/>
              </w:rPr>
              <w:t xml:space="preserve">OMIE </w:t>
            </w:r>
            <w:r w:rsidR="00F17C0E">
              <w:rPr>
                <w:rFonts w:ascii="Arial Narrow" w:hAnsi="Arial Narrow"/>
                <w:sz w:val="20"/>
              </w:rPr>
              <w:t xml:space="preserve">to participate in the development of the SOB with </w:t>
            </w:r>
            <w:r>
              <w:rPr>
                <w:rFonts w:ascii="Arial Narrow" w:hAnsi="Arial Narrow"/>
                <w:sz w:val="20"/>
              </w:rPr>
              <w:t>NWE PXs.</w:t>
            </w:r>
          </w:p>
        </w:tc>
        <w:tc>
          <w:tcPr>
            <w:tcW w:w="1909" w:type="dxa"/>
            <w:shd w:val="clear" w:color="auto" w:fill="FFFFFF"/>
            <w:vAlign w:val="center"/>
          </w:tcPr>
          <w:p w:rsidR="00CA489E" w:rsidRPr="00F95C02" w:rsidRDefault="00CA489E" w:rsidP="000F4579">
            <w:pPr>
              <w:keepNext/>
              <w:spacing w:before="60" w:after="60"/>
              <w:jc w:val="center"/>
              <w:rPr>
                <w:rFonts w:ascii="Arial Narrow" w:hAnsi="Arial Narrow"/>
                <w:sz w:val="20"/>
              </w:rPr>
            </w:pPr>
            <w:r w:rsidRPr="00F95C02">
              <w:rPr>
                <w:rFonts w:ascii="Arial Narrow" w:hAnsi="Arial Narrow"/>
                <w:sz w:val="20"/>
              </w:rPr>
              <w:t>IG</w:t>
            </w:r>
          </w:p>
        </w:tc>
        <w:tc>
          <w:tcPr>
            <w:tcW w:w="2126" w:type="dxa"/>
            <w:shd w:val="clear" w:color="auto" w:fill="FFFFFF"/>
            <w:vAlign w:val="center"/>
          </w:tcPr>
          <w:p w:rsidR="00CA489E" w:rsidRPr="00F95C02" w:rsidRDefault="00CA489E" w:rsidP="00F623CE">
            <w:pPr>
              <w:keepNext/>
              <w:spacing w:before="40" w:after="40"/>
              <w:jc w:val="center"/>
              <w:rPr>
                <w:rFonts w:ascii="Arial Narrow" w:hAnsi="Arial Narrow"/>
                <w:sz w:val="20"/>
              </w:rPr>
            </w:pPr>
            <w:bookmarkStart w:id="18" w:name="OLE_LINK3"/>
            <w:bookmarkStart w:id="19" w:name="OLE_LINK4"/>
            <w:r>
              <w:rPr>
                <w:rFonts w:ascii="Arial Narrow" w:hAnsi="Arial Narrow"/>
                <w:sz w:val="20"/>
              </w:rPr>
              <w:t>1</w:t>
            </w:r>
            <w:r>
              <w:rPr>
                <w:rFonts w:ascii="Arial Narrow" w:hAnsi="Arial Narrow"/>
                <w:sz w:val="20"/>
                <w:vertAlign w:val="superscript"/>
              </w:rPr>
              <w:t>st</w:t>
            </w:r>
            <w:r>
              <w:rPr>
                <w:rFonts w:ascii="Arial Narrow" w:hAnsi="Arial Narrow"/>
                <w:sz w:val="20"/>
              </w:rPr>
              <w:t xml:space="preserve"> </w:t>
            </w:r>
            <w:r w:rsidRPr="00F95C02">
              <w:rPr>
                <w:rFonts w:ascii="Arial Narrow" w:hAnsi="Arial Narrow"/>
                <w:sz w:val="20"/>
              </w:rPr>
              <w:t>quarter 201</w:t>
            </w:r>
            <w:bookmarkEnd w:id="18"/>
            <w:bookmarkEnd w:id="19"/>
            <w:r>
              <w:rPr>
                <w:rFonts w:ascii="Arial Narrow" w:hAnsi="Arial Narrow"/>
                <w:sz w:val="20"/>
              </w:rPr>
              <w:t xml:space="preserve">2 </w:t>
            </w:r>
          </w:p>
        </w:tc>
      </w:tr>
      <w:tr w:rsidR="00CA489E" w:rsidTr="00ED4B38">
        <w:trPr>
          <w:trHeight w:val="228"/>
          <w:jc w:val="center"/>
        </w:trPr>
        <w:tc>
          <w:tcPr>
            <w:tcW w:w="4252" w:type="dxa"/>
            <w:tcBorders>
              <w:top w:val="single" w:sz="4" w:space="0" w:color="auto"/>
              <w:left w:val="single" w:sz="4" w:space="0" w:color="auto"/>
              <w:bottom w:val="single" w:sz="4" w:space="0" w:color="auto"/>
              <w:right w:val="single" w:sz="4" w:space="0" w:color="auto"/>
            </w:tcBorders>
            <w:vAlign w:val="center"/>
          </w:tcPr>
          <w:p w:rsidR="00822AF7" w:rsidRDefault="00CA489E">
            <w:pPr>
              <w:keepNext/>
              <w:spacing w:before="60" w:after="60"/>
              <w:jc w:val="left"/>
              <w:rPr>
                <w:rFonts w:ascii="Arial Narrow" w:hAnsi="Arial Narrow"/>
                <w:sz w:val="20"/>
              </w:rPr>
            </w:pPr>
            <w:r>
              <w:rPr>
                <w:rFonts w:ascii="Arial Narrow" w:hAnsi="Arial Narrow"/>
                <w:sz w:val="20"/>
              </w:rPr>
              <w:t>Legal approval of regulatory changes</w:t>
            </w:r>
          </w:p>
        </w:tc>
        <w:tc>
          <w:tcPr>
            <w:tcW w:w="1909" w:type="dxa"/>
            <w:tcBorders>
              <w:top w:val="single" w:sz="4" w:space="0" w:color="auto"/>
              <w:left w:val="single" w:sz="4" w:space="0" w:color="auto"/>
              <w:bottom w:val="single" w:sz="4" w:space="0" w:color="auto"/>
              <w:right w:val="single" w:sz="4" w:space="0" w:color="auto"/>
            </w:tcBorders>
          </w:tcPr>
          <w:p w:rsidR="00CA489E" w:rsidRPr="00F95C02" w:rsidRDefault="00CA489E" w:rsidP="000F4579">
            <w:pPr>
              <w:keepNext/>
              <w:tabs>
                <w:tab w:val="left" w:pos="1680"/>
              </w:tabs>
              <w:spacing w:before="40" w:after="40"/>
              <w:jc w:val="center"/>
              <w:rPr>
                <w:rFonts w:ascii="Arial Narrow" w:hAnsi="Arial Narrow"/>
                <w:sz w:val="20"/>
              </w:rPr>
            </w:pPr>
            <w:r w:rsidRPr="00F95C02">
              <w:rPr>
                <w:rFonts w:ascii="Arial Narrow" w:hAnsi="Arial Narrow"/>
                <w:sz w:val="20"/>
              </w:rPr>
              <w:t>RCC and Spanish Ministry</w:t>
            </w:r>
            <w:r w:rsidR="001D69FB">
              <w:rPr>
                <w:rFonts w:ascii="Arial Narrow" w:hAnsi="Arial Narrow"/>
                <w:sz w:val="20"/>
              </w:rPr>
              <w:t xml:space="preserve"> if needed</w:t>
            </w:r>
          </w:p>
        </w:tc>
        <w:tc>
          <w:tcPr>
            <w:tcW w:w="2126" w:type="dxa"/>
            <w:tcBorders>
              <w:top w:val="single" w:sz="4" w:space="0" w:color="auto"/>
              <w:left w:val="single" w:sz="4" w:space="0" w:color="auto"/>
              <w:bottom w:val="single" w:sz="4" w:space="0" w:color="auto"/>
              <w:right w:val="single" w:sz="4" w:space="0" w:color="auto"/>
            </w:tcBorders>
          </w:tcPr>
          <w:p w:rsidR="00CA489E" w:rsidRPr="00F95C02" w:rsidRDefault="00CA489E" w:rsidP="000F7460">
            <w:pPr>
              <w:keepNext/>
              <w:spacing w:before="40" w:after="40"/>
              <w:jc w:val="center"/>
              <w:rPr>
                <w:rFonts w:ascii="Arial Narrow" w:hAnsi="Arial Narrow"/>
                <w:sz w:val="20"/>
              </w:rPr>
            </w:pPr>
            <w:r>
              <w:rPr>
                <w:rFonts w:ascii="Arial Narrow" w:hAnsi="Arial Narrow"/>
                <w:sz w:val="20"/>
              </w:rPr>
              <w:t>2</w:t>
            </w:r>
            <w:r w:rsidRPr="0027626C">
              <w:rPr>
                <w:rFonts w:ascii="Arial Narrow" w:hAnsi="Arial Narrow"/>
                <w:sz w:val="20"/>
                <w:vertAlign w:val="superscript"/>
              </w:rPr>
              <w:t>nd</w:t>
            </w:r>
            <w:r>
              <w:rPr>
                <w:rFonts w:ascii="Arial Narrow" w:hAnsi="Arial Narrow"/>
                <w:sz w:val="20"/>
              </w:rPr>
              <w:t xml:space="preserve"> </w:t>
            </w:r>
            <w:r w:rsidRPr="00F95C02">
              <w:rPr>
                <w:rFonts w:ascii="Arial Narrow" w:hAnsi="Arial Narrow"/>
                <w:sz w:val="20"/>
              </w:rPr>
              <w:t>quarter 2012</w:t>
            </w:r>
          </w:p>
        </w:tc>
      </w:tr>
      <w:tr w:rsidR="00CA489E" w:rsidTr="00ED4B38">
        <w:trPr>
          <w:trHeight w:val="228"/>
          <w:jc w:val="center"/>
        </w:trPr>
        <w:tc>
          <w:tcPr>
            <w:tcW w:w="4252" w:type="dxa"/>
            <w:tcBorders>
              <w:top w:val="single" w:sz="4" w:space="0" w:color="auto"/>
              <w:left w:val="single" w:sz="4" w:space="0" w:color="auto"/>
              <w:bottom w:val="single" w:sz="4" w:space="0" w:color="auto"/>
              <w:right w:val="single" w:sz="4" w:space="0" w:color="auto"/>
            </w:tcBorders>
          </w:tcPr>
          <w:p w:rsidR="00822AF7" w:rsidRDefault="002D0191">
            <w:pPr>
              <w:keepNext/>
              <w:spacing w:before="60" w:after="60"/>
              <w:jc w:val="left"/>
              <w:rPr>
                <w:rFonts w:ascii="Arial Narrow" w:hAnsi="Arial Narrow"/>
                <w:sz w:val="20"/>
              </w:rPr>
            </w:pPr>
            <w:r w:rsidRPr="002D0191">
              <w:rPr>
                <w:rFonts w:ascii="Arial Narrow" w:hAnsi="Arial Narrow"/>
                <w:sz w:val="20"/>
              </w:rPr>
              <w:t xml:space="preserve">Local implementation (in SWE but coordinated with NWE and other regions/countries) </w:t>
            </w:r>
          </w:p>
        </w:tc>
        <w:tc>
          <w:tcPr>
            <w:tcW w:w="1909" w:type="dxa"/>
            <w:tcBorders>
              <w:top w:val="single" w:sz="4" w:space="0" w:color="auto"/>
              <w:left w:val="single" w:sz="4" w:space="0" w:color="auto"/>
              <w:bottom w:val="single" w:sz="4" w:space="0" w:color="auto"/>
              <w:right w:val="single" w:sz="4" w:space="0" w:color="auto"/>
            </w:tcBorders>
          </w:tcPr>
          <w:p w:rsidR="00CA489E" w:rsidRPr="00F95C02" w:rsidRDefault="002D0191" w:rsidP="00F623CE">
            <w:pPr>
              <w:keepNext/>
              <w:tabs>
                <w:tab w:val="left" w:pos="1680"/>
              </w:tabs>
              <w:spacing w:before="40" w:after="40"/>
              <w:jc w:val="center"/>
              <w:rPr>
                <w:rFonts w:ascii="Arial Narrow" w:hAnsi="Arial Narrow"/>
                <w:sz w:val="20"/>
              </w:rPr>
            </w:pPr>
            <w:r w:rsidRPr="002D0191">
              <w:rPr>
                <w:rFonts w:ascii="Arial Narrow" w:hAnsi="Arial Narrow"/>
                <w:sz w:val="20"/>
              </w:rPr>
              <w:t>PXs and TSOs</w:t>
            </w:r>
          </w:p>
        </w:tc>
        <w:tc>
          <w:tcPr>
            <w:tcW w:w="2126" w:type="dxa"/>
            <w:tcBorders>
              <w:top w:val="single" w:sz="4" w:space="0" w:color="auto"/>
              <w:left w:val="single" w:sz="4" w:space="0" w:color="auto"/>
              <w:bottom w:val="single" w:sz="4" w:space="0" w:color="auto"/>
              <w:right w:val="single" w:sz="4" w:space="0" w:color="auto"/>
            </w:tcBorders>
          </w:tcPr>
          <w:p w:rsidR="00CA489E" w:rsidDel="000F7460" w:rsidRDefault="002D0191" w:rsidP="0071149B">
            <w:pPr>
              <w:keepNext/>
              <w:spacing w:before="40" w:after="40"/>
              <w:jc w:val="center"/>
              <w:rPr>
                <w:rFonts w:ascii="Arial Narrow" w:hAnsi="Arial Narrow"/>
                <w:sz w:val="20"/>
              </w:rPr>
            </w:pPr>
            <w:r w:rsidRPr="002D0191">
              <w:rPr>
                <w:rFonts w:ascii="Arial Narrow" w:hAnsi="Arial Narrow"/>
                <w:sz w:val="20"/>
              </w:rPr>
              <w:t>3</w:t>
            </w:r>
            <w:r w:rsidRPr="002D0191">
              <w:rPr>
                <w:rFonts w:ascii="Arial Narrow" w:hAnsi="Arial Narrow"/>
                <w:sz w:val="20"/>
                <w:vertAlign w:val="superscript"/>
              </w:rPr>
              <w:t>rd</w:t>
            </w:r>
            <w:r w:rsidR="00CA489E">
              <w:rPr>
                <w:rFonts w:ascii="Arial Narrow" w:hAnsi="Arial Narrow"/>
                <w:sz w:val="20"/>
              </w:rPr>
              <w:t xml:space="preserve"> </w:t>
            </w:r>
            <w:r w:rsidR="00CA489E" w:rsidRPr="004A514A">
              <w:rPr>
                <w:rFonts w:ascii="Arial Narrow" w:hAnsi="Arial Narrow"/>
                <w:sz w:val="20"/>
              </w:rPr>
              <w:t>–</w:t>
            </w:r>
            <w:r w:rsidRPr="002D0191">
              <w:rPr>
                <w:rFonts w:ascii="Arial Narrow" w:hAnsi="Arial Narrow"/>
                <w:sz w:val="20"/>
              </w:rPr>
              <w:t xml:space="preserve"> 4</w:t>
            </w:r>
            <w:r w:rsidRPr="002D0191">
              <w:rPr>
                <w:rFonts w:ascii="Arial Narrow" w:hAnsi="Arial Narrow"/>
                <w:sz w:val="20"/>
                <w:vertAlign w:val="superscript"/>
              </w:rPr>
              <w:t>th</w:t>
            </w:r>
            <w:r w:rsidR="00CA489E">
              <w:rPr>
                <w:rFonts w:ascii="Arial Narrow" w:hAnsi="Arial Narrow"/>
                <w:sz w:val="20"/>
              </w:rPr>
              <w:t xml:space="preserve"> </w:t>
            </w:r>
            <w:r w:rsidRPr="002D0191">
              <w:rPr>
                <w:rFonts w:ascii="Arial Narrow" w:hAnsi="Arial Narrow"/>
                <w:sz w:val="20"/>
              </w:rPr>
              <w:t xml:space="preserve">Q 2012 </w:t>
            </w:r>
          </w:p>
        </w:tc>
      </w:tr>
      <w:tr w:rsidR="00CA489E" w:rsidTr="00ED4B38">
        <w:trPr>
          <w:trHeight w:val="228"/>
          <w:jc w:val="center"/>
        </w:trPr>
        <w:tc>
          <w:tcPr>
            <w:tcW w:w="4252" w:type="dxa"/>
            <w:tcBorders>
              <w:top w:val="single" w:sz="4" w:space="0" w:color="auto"/>
              <w:left w:val="single" w:sz="4" w:space="0" w:color="auto"/>
              <w:bottom w:val="single" w:sz="4" w:space="0" w:color="auto"/>
              <w:right w:val="single" w:sz="4" w:space="0" w:color="auto"/>
            </w:tcBorders>
          </w:tcPr>
          <w:p w:rsidR="00822AF7" w:rsidRDefault="002D0191">
            <w:pPr>
              <w:keepNext/>
              <w:spacing w:before="60" w:after="60"/>
              <w:jc w:val="left"/>
              <w:rPr>
                <w:rFonts w:ascii="Arial Narrow" w:hAnsi="Arial Narrow"/>
                <w:sz w:val="20"/>
              </w:rPr>
            </w:pPr>
            <w:r w:rsidRPr="002D0191">
              <w:rPr>
                <w:rFonts w:ascii="Arial Narrow" w:hAnsi="Arial Narrow"/>
                <w:sz w:val="20"/>
              </w:rPr>
              <w:t xml:space="preserve">Go live of interim solution </w:t>
            </w:r>
          </w:p>
        </w:tc>
        <w:tc>
          <w:tcPr>
            <w:tcW w:w="1909" w:type="dxa"/>
            <w:tcBorders>
              <w:top w:val="single" w:sz="4" w:space="0" w:color="auto"/>
              <w:left w:val="single" w:sz="4" w:space="0" w:color="auto"/>
              <w:bottom w:val="single" w:sz="4" w:space="0" w:color="auto"/>
              <w:right w:val="single" w:sz="4" w:space="0" w:color="auto"/>
            </w:tcBorders>
          </w:tcPr>
          <w:p w:rsidR="00CA489E" w:rsidRPr="00F95C02" w:rsidRDefault="002D0191" w:rsidP="00F623CE">
            <w:pPr>
              <w:keepNext/>
              <w:tabs>
                <w:tab w:val="left" w:pos="1680"/>
              </w:tabs>
              <w:spacing w:before="40" w:after="40"/>
              <w:jc w:val="center"/>
              <w:rPr>
                <w:rFonts w:ascii="Arial Narrow" w:hAnsi="Arial Narrow"/>
                <w:sz w:val="20"/>
              </w:rPr>
            </w:pPr>
            <w:r w:rsidRPr="002D0191">
              <w:rPr>
                <w:rFonts w:ascii="Arial Narrow" w:hAnsi="Arial Narrow"/>
                <w:sz w:val="20"/>
              </w:rPr>
              <w:t xml:space="preserve">PXs and TSOs </w:t>
            </w:r>
          </w:p>
        </w:tc>
        <w:tc>
          <w:tcPr>
            <w:tcW w:w="2126" w:type="dxa"/>
            <w:tcBorders>
              <w:top w:val="single" w:sz="4" w:space="0" w:color="auto"/>
              <w:left w:val="single" w:sz="4" w:space="0" w:color="auto"/>
              <w:bottom w:val="single" w:sz="4" w:space="0" w:color="auto"/>
              <w:right w:val="single" w:sz="4" w:space="0" w:color="auto"/>
            </w:tcBorders>
          </w:tcPr>
          <w:p w:rsidR="00CA489E" w:rsidRPr="00F95C02" w:rsidRDefault="002D0191" w:rsidP="00BC55D3">
            <w:pPr>
              <w:keepNext/>
              <w:spacing w:before="40" w:after="40"/>
              <w:jc w:val="center"/>
              <w:rPr>
                <w:rFonts w:ascii="Arial Narrow" w:hAnsi="Arial Narrow"/>
                <w:sz w:val="20"/>
              </w:rPr>
            </w:pPr>
            <w:r w:rsidRPr="002D0191">
              <w:rPr>
                <w:rFonts w:ascii="Arial Narrow" w:hAnsi="Arial Narrow"/>
                <w:sz w:val="20"/>
              </w:rPr>
              <w:t>4</w:t>
            </w:r>
            <w:r w:rsidRPr="002D0191">
              <w:rPr>
                <w:rFonts w:ascii="Arial Narrow" w:hAnsi="Arial Narrow"/>
                <w:sz w:val="20"/>
                <w:vertAlign w:val="superscript"/>
              </w:rPr>
              <w:t>th</w:t>
            </w:r>
            <w:r w:rsidR="00CA489E">
              <w:rPr>
                <w:rFonts w:ascii="Arial Narrow" w:hAnsi="Arial Narrow"/>
                <w:sz w:val="20"/>
              </w:rPr>
              <w:t xml:space="preserve"> </w:t>
            </w:r>
            <w:r w:rsidRPr="002D0191">
              <w:rPr>
                <w:rFonts w:ascii="Arial Narrow" w:hAnsi="Arial Narrow"/>
                <w:sz w:val="20"/>
              </w:rPr>
              <w:t>Q 2012</w:t>
            </w:r>
          </w:p>
        </w:tc>
      </w:tr>
      <w:tr w:rsidR="00CA489E" w:rsidTr="00ED4B38">
        <w:trPr>
          <w:cantSplit/>
          <w:trHeight w:val="228"/>
          <w:jc w:val="center"/>
        </w:trPr>
        <w:tc>
          <w:tcPr>
            <w:tcW w:w="4252" w:type="dxa"/>
            <w:shd w:val="clear" w:color="auto" w:fill="FFFFFF"/>
          </w:tcPr>
          <w:p w:rsidR="00CA489E" w:rsidRDefault="00CA489E" w:rsidP="006233D6">
            <w:pPr>
              <w:keepNext/>
              <w:spacing w:before="60" w:after="60"/>
              <w:rPr>
                <w:rFonts w:ascii="Arial Narrow" w:hAnsi="Arial Narrow"/>
                <w:sz w:val="20"/>
              </w:rPr>
            </w:pPr>
            <w:r>
              <w:rPr>
                <w:rFonts w:ascii="Arial Narrow" w:hAnsi="Arial Narrow"/>
                <w:sz w:val="20"/>
              </w:rPr>
              <w:t>Following steps until the implementation of the enduring model defined in the FG CACM: Sophisticated products (and capacity pricing). Please, see the cross-regional roadmap for intraday.</w:t>
            </w:r>
          </w:p>
        </w:tc>
        <w:tc>
          <w:tcPr>
            <w:tcW w:w="1909" w:type="dxa"/>
            <w:shd w:val="clear" w:color="auto" w:fill="FFFFFF"/>
            <w:vAlign w:val="center"/>
          </w:tcPr>
          <w:p w:rsidR="00CA489E" w:rsidRPr="00F95C02" w:rsidDel="000F7460" w:rsidRDefault="00CA489E" w:rsidP="000F4579">
            <w:pPr>
              <w:keepNext/>
              <w:tabs>
                <w:tab w:val="left" w:pos="1680"/>
              </w:tabs>
              <w:spacing w:before="40" w:after="40"/>
              <w:jc w:val="center"/>
              <w:rPr>
                <w:rFonts w:ascii="Arial Narrow" w:hAnsi="Arial Narrow"/>
                <w:sz w:val="20"/>
              </w:rPr>
            </w:pPr>
            <w:r>
              <w:rPr>
                <w:rFonts w:ascii="Arial Narrow" w:hAnsi="Arial Narrow"/>
                <w:sz w:val="20"/>
              </w:rPr>
              <w:t>IG</w:t>
            </w:r>
          </w:p>
        </w:tc>
        <w:tc>
          <w:tcPr>
            <w:tcW w:w="2126" w:type="dxa"/>
            <w:shd w:val="clear" w:color="auto" w:fill="FFFFFF"/>
            <w:vAlign w:val="center"/>
          </w:tcPr>
          <w:p w:rsidR="00CA489E" w:rsidDel="000F7460" w:rsidRDefault="00CA489E" w:rsidP="000F7460">
            <w:pPr>
              <w:keepNext/>
              <w:spacing w:before="40" w:after="40"/>
              <w:jc w:val="center"/>
              <w:rPr>
                <w:rFonts w:ascii="Arial Narrow" w:hAnsi="Arial Narrow"/>
                <w:sz w:val="20"/>
              </w:rPr>
            </w:pPr>
            <w:r>
              <w:rPr>
                <w:rFonts w:ascii="Arial Narrow" w:hAnsi="Arial Narrow"/>
                <w:sz w:val="20"/>
              </w:rPr>
              <w:t>Before end 2014</w:t>
            </w:r>
          </w:p>
        </w:tc>
      </w:tr>
    </w:tbl>
    <w:p w:rsidR="00CA489E" w:rsidRDefault="00CA489E" w:rsidP="001643DB">
      <w:pPr>
        <w:spacing w:line="360" w:lineRule="auto"/>
        <w:rPr>
          <w:bCs w:val="0"/>
          <w:color w:val="FF0000"/>
        </w:rPr>
      </w:pPr>
    </w:p>
    <w:p w:rsidR="00CA489E" w:rsidRDefault="00CA489E">
      <w:pPr>
        <w:keepLines w:val="0"/>
        <w:jc w:val="left"/>
        <w:rPr>
          <w:rFonts w:cs="Arial"/>
          <w:b/>
          <w:bCs w:val="0"/>
          <w:sz w:val="24"/>
          <w:szCs w:val="26"/>
        </w:rPr>
      </w:pPr>
      <w:bookmarkStart w:id="20" w:name="_Toc293416712"/>
    </w:p>
    <w:p w:rsidR="00CA489E" w:rsidRDefault="00CA489E" w:rsidP="001643DB">
      <w:pPr>
        <w:pStyle w:val="Ttulo3"/>
      </w:pPr>
      <w:r>
        <w:t>Deliverable I.4: Cross-border balancing among TSOs</w:t>
      </w:r>
      <w:bookmarkEnd w:id="20"/>
    </w:p>
    <w:p w:rsidR="00CA489E" w:rsidRDefault="00CA489E" w:rsidP="001643DB"/>
    <w:p w:rsidR="00CA489E" w:rsidRDefault="00CA489E" w:rsidP="001643DB">
      <w:r w:rsidRPr="00F95C02">
        <w:t>Although balancing is out of the scope of the FG CACM</w:t>
      </w:r>
      <w:r>
        <w:t xml:space="preserve">, it is related to the so called “target model”. </w:t>
      </w:r>
    </w:p>
    <w:p w:rsidR="00CA489E" w:rsidRDefault="00CA489E" w:rsidP="001643DB"/>
    <w:p w:rsidR="00CA489E" w:rsidRDefault="00CA489E" w:rsidP="00F95C02">
      <w:r>
        <w:t>According to the PCG, the target model for cross-border balancing is based on a TSO – TSO model. The balancing markets include all kinds of reserves. Compatibility of timeframes is needed and a pragmatic approach in harmonisation of imbalance settlement could be applied. There will be no reservation of interconnection commercial capacity for balancing purposes and no charges for using interconnectors for cross-border balancing.</w:t>
      </w:r>
    </w:p>
    <w:p w:rsidR="00CA489E" w:rsidRDefault="00CA489E" w:rsidP="00F95C02"/>
    <w:p w:rsidR="00CA489E" w:rsidRDefault="00CA489E" w:rsidP="00F95C02">
      <w:r>
        <w:t>Within MIBEL, there is an action plan consisting of three stages:</w:t>
      </w:r>
    </w:p>
    <w:p w:rsidR="00CA489E" w:rsidRDefault="00CA489E" w:rsidP="00F95C02"/>
    <w:p w:rsidR="00CA489E" w:rsidRDefault="00CA489E" w:rsidP="00F95C02">
      <w:pPr>
        <w:numPr>
          <w:ilvl w:val="0"/>
          <w:numId w:val="10"/>
        </w:numPr>
      </w:pPr>
      <w:r>
        <w:t>Exchange of energy for system support.</w:t>
      </w:r>
    </w:p>
    <w:p w:rsidR="00CA489E" w:rsidRDefault="00CA489E" w:rsidP="00F95C02">
      <w:pPr>
        <w:numPr>
          <w:ilvl w:val="0"/>
          <w:numId w:val="10"/>
        </w:numPr>
      </w:pPr>
      <w:r>
        <w:t>Exchange of balancing energy between TSOs used only when the receiving operator has already used all the bids for upwards/downwards of its own system.</w:t>
      </w:r>
    </w:p>
    <w:p w:rsidR="00CA489E" w:rsidRDefault="00CA489E" w:rsidP="00F95C02">
      <w:pPr>
        <w:numPr>
          <w:ilvl w:val="0"/>
          <w:numId w:val="10"/>
        </w:numPr>
      </w:pPr>
      <w:r>
        <w:t>Bids for upwards/downwards regulation are offered from one TSO to the other TSO and are incorporated in the merit order list of the receiving system.</w:t>
      </w:r>
    </w:p>
    <w:p w:rsidR="00CA489E" w:rsidRDefault="00CA489E" w:rsidP="00F95C02"/>
    <w:p w:rsidR="00CA489E" w:rsidRDefault="00CA489E" w:rsidP="00F95C02">
      <w:r>
        <w:t>The stage 1 has already been completed. Stage 2 is in progress.</w:t>
      </w:r>
    </w:p>
    <w:p w:rsidR="00CA489E" w:rsidRDefault="00CA489E" w:rsidP="00F95C02"/>
    <w:p w:rsidR="00CA489E" w:rsidRDefault="00CA489E" w:rsidP="00F95C02">
      <w:r>
        <w:t>Within the France-United Kingdom-Ireland region, the first step of the BALIT (</w:t>
      </w:r>
      <w:proofErr w:type="spellStart"/>
      <w:r>
        <w:t>BALancing</w:t>
      </w:r>
      <w:proofErr w:type="spellEnd"/>
      <w:r>
        <w:t xml:space="preserve"> Inter TSO) project was in effect from March 2009 until November 2010. During this period, RTE and National Grid exchanged balancing offers under a defined bilateral framework. In the second step of the project launched the 1</w:t>
      </w:r>
      <w:r>
        <w:rPr>
          <w:vertAlign w:val="superscript"/>
        </w:rPr>
        <w:t>st</w:t>
      </w:r>
      <w:r>
        <w:t xml:space="preserve"> December 2010, both TSOs exchange standardized balancing offers every hour through a single platform extendable to any TSO. </w:t>
      </w:r>
    </w:p>
    <w:p w:rsidR="00CA489E" w:rsidRDefault="00CA489E" w:rsidP="00F95C02"/>
    <w:p w:rsidR="00CA489E" w:rsidRDefault="00CA489E" w:rsidP="00F95C02">
      <w:pPr>
        <w:keepLines w:val="0"/>
        <w:autoSpaceDE w:val="0"/>
        <w:autoSpaceDN w:val="0"/>
        <w:adjustRightInd w:val="0"/>
        <w:rPr>
          <w:rFonts w:cs="Arial"/>
          <w:szCs w:val="22"/>
        </w:rPr>
      </w:pPr>
      <w:r>
        <w:rPr>
          <w:rFonts w:cs="Arial"/>
          <w:bCs w:val="0"/>
          <w:szCs w:val="22"/>
          <w:lang w:eastAsia="es-ES"/>
        </w:rPr>
        <w:t>T</w:t>
      </w:r>
      <w:r>
        <w:rPr>
          <w:rFonts w:cs="Arial"/>
          <w:bCs w:val="0"/>
          <w:szCs w:val="22"/>
          <w:lang w:val="en-US" w:eastAsia="es-ES"/>
        </w:rPr>
        <w:t>he TSO-TSO approach, where agents interact only with their respective TSO seems to be the preferable model for the SW region in line with all parties’ position so far. The proposal presented by the three TSOs of the region in the 5</w:t>
      </w:r>
      <w:r>
        <w:rPr>
          <w:rFonts w:cs="Arial"/>
          <w:bCs w:val="0"/>
          <w:szCs w:val="22"/>
          <w:vertAlign w:val="superscript"/>
          <w:lang w:val="en-US" w:eastAsia="es-ES"/>
        </w:rPr>
        <w:t>th</w:t>
      </w:r>
      <w:r>
        <w:rPr>
          <w:rFonts w:cs="Arial"/>
          <w:bCs w:val="0"/>
          <w:szCs w:val="22"/>
          <w:lang w:val="en-US" w:eastAsia="es-ES"/>
        </w:rPr>
        <w:t xml:space="preserve"> IG meeting will be developed but taking into account efficiency, complexity, interest of the final solution and compatibility with the ongoing projects.</w:t>
      </w:r>
      <w:r>
        <w:t xml:space="preserve"> During the 6</w:t>
      </w:r>
      <w:r>
        <w:rPr>
          <w:vertAlign w:val="superscript"/>
        </w:rPr>
        <w:t>th</w:t>
      </w:r>
      <w:r>
        <w:t xml:space="preserve"> SW IG meeting, </w:t>
      </w:r>
      <w:r>
        <w:rPr>
          <w:rFonts w:cs="Arial"/>
          <w:szCs w:val="22"/>
        </w:rPr>
        <w:t>TSOs identified as key issues in this subject the need to agree on compatible products definition and on a shared schedule that allows allocation of non-commercially used interconnection capacity within time slots adequate for a coordinated bid updating process. TSOs detailed all the changes to implement. The issues concerning the compatibility and the cost/benefit analysis of this project were raised.</w:t>
      </w:r>
    </w:p>
    <w:p w:rsidR="00CA489E" w:rsidRDefault="00CA489E" w:rsidP="00F95C02">
      <w:pPr>
        <w:keepLines w:val="0"/>
        <w:autoSpaceDE w:val="0"/>
        <w:autoSpaceDN w:val="0"/>
        <w:adjustRightInd w:val="0"/>
        <w:rPr>
          <w:rFonts w:cs="Arial"/>
          <w:szCs w:val="22"/>
        </w:rPr>
      </w:pPr>
    </w:p>
    <w:p w:rsidR="00CA489E" w:rsidRDefault="00CA489E" w:rsidP="00F95C02">
      <w:pPr>
        <w:keepLines w:val="0"/>
        <w:autoSpaceDE w:val="0"/>
        <w:autoSpaceDN w:val="0"/>
        <w:adjustRightInd w:val="0"/>
        <w:rPr>
          <w:rFonts w:cs="Arial"/>
          <w:szCs w:val="22"/>
        </w:rPr>
      </w:pPr>
      <w:r>
        <w:rPr>
          <w:rFonts w:cs="Arial"/>
          <w:bCs w:val="0"/>
          <w:szCs w:val="22"/>
          <w:lang w:val="en-US" w:eastAsia="es-ES"/>
        </w:rPr>
        <w:t xml:space="preserve">Finally, the region agreed to follow a </w:t>
      </w:r>
      <w:r>
        <w:rPr>
          <w:rFonts w:cs="Arial"/>
          <w:szCs w:val="22"/>
        </w:rPr>
        <w:t xml:space="preserve">two-steps approach for the implementation of a cross-border balancing mechanism: </w:t>
      </w:r>
    </w:p>
    <w:p w:rsidR="00CA489E" w:rsidRDefault="00CA489E" w:rsidP="00F95C02">
      <w:pPr>
        <w:keepLines w:val="0"/>
        <w:numPr>
          <w:ilvl w:val="0"/>
          <w:numId w:val="21"/>
        </w:numPr>
        <w:autoSpaceDE w:val="0"/>
        <w:autoSpaceDN w:val="0"/>
        <w:adjustRightInd w:val="0"/>
        <w:spacing w:before="240"/>
        <w:rPr>
          <w:rFonts w:cs="Arial"/>
          <w:szCs w:val="22"/>
        </w:rPr>
      </w:pPr>
      <w:r>
        <w:rPr>
          <w:rFonts w:cs="Arial"/>
          <w:szCs w:val="22"/>
        </w:rPr>
        <w:t xml:space="preserve">The first step is an interim solution </w:t>
      </w:r>
      <w:r w:rsidRPr="00BC55D3">
        <w:rPr>
          <w:rFonts w:cs="Arial"/>
          <w:szCs w:val="22"/>
        </w:rPr>
        <w:t xml:space="preserve">using the BALIT platform </w:t>
      </w:r>
      <w:r>
        <w:rPr>
          <w:rFonts w:cs="Arial"/>
          <w:szCs w:val="22"/>
        </w:rPr>
        <w:t xml:space="preserve">composed by two bilateral mechanisms: </w:t>
      </w:r>
    </w:p>
    <w:p w:rsidR="00CA489E" w:rsidRDefault="00CA489E" w:rsidP="00F95C02">
      <w:pPr>
        <w:keepLines w:val="0"/>
        <w:numPr>
          <w:ilvl w:val="1"/>
          <w:numId w:val="21"/>
        </w:numPr>
        <w:autoSpaceDE w:val="0"/>
        <w:autoSpaceDN w:val="0"/>
        <w:adjustRightInd w:val="0"/>
        <w:spacing w:before="240"/>
        <w:rPr>
          <w:rFonts w:cs="Arial"/>
          <w:szCs w:val="22"/>
        </w:rPr>
      </w:pPr>
      <w:r>
        <w:rPr>
          <w:rFonts w:cs="Arial"/>
          <w:szCs w:val="22"/>
        </w:rPr>
        <w:t xml:space="preserve">An interim solution between REE and RTE. </w:t>
      </w:r>
    </w:p>
    <w:p w:rsidR="00CA489E" w:rsidRDefault="00CA489E" w:rsidP="00F95C02">
      <w:pPr>
        <w:keepLines w:val="0"/>
        <w:numPr>
          <w:ilvl w:val="1"/>
          <w:numId w:val="21"/>
        </w:numPr>
        <w:autoSpaceDE w:val="0"/>
        <w:autoSpaceDN w:val="0"/>
        <w:adjustRightInd w:val="0"/>
        <w:spacing w:before="240"/>
        <w:rPr>
          <w:rFonts w:cs="Arial"/>
          <w:szCs w:val="22"/>
        </w:rPr>
      </w:pPr>
      <w:r>
        <w:rPr>
          <w:rFonts w:cs="Arial"/>
          <w:szCs w:val="22"/>
        </w:rPr>
        <w:t>An interim solution between REE and REN (in the framework of the MIBEL).</w:t>
      </w:r>
    </w:p>
    <w:p w:rsidR="00CA489E" w:rsidRDefault="00CA489E" w:rsidP="00F95C02">
      <w:pPr>
        <w:keepLines w:val="0"/>
        <w:numPr>
          <w:ilvl w:val="0"/>
          <w:numId w:val="21"/>
        </w:numPr>
        <w:autoSpaceDE w:val="0"/>
        <w:autoSpaceDN w:val="0"/>
        <w:adjustRightInd w:val="0"/>
        <w:spacing w:before="240"/>
        <w:rPr>
          <w:rFonts w:cs="Arial"/>
          <w:bCs w:val="0"/>
          <w:szCs w:val="22"/>
          <w:lang w:val="en-US" w:eastAsia="es-ES"/>
        </w:rPr>
      </w:pPr>
      <w:r>
        <w:rPr>
          <w:rFonts w:cs="Arial"/>
          <w:szCs w:val="22"/>
        </w:rPr>
        <w:t xml:space="preserve">The second step is the implementation of a multi-TSO enduring solution </w:t>
      </w:r>
      <w:r w:rsidRPr="00BC55D3">
        <w:rPr>
          <w:rFonts w:cs="Arial"/>
          <w:szCs w:val="22"/>
        </w:rPr>
        <w:t>(</w:t>
      </w:r>
      <w:r w:rsidRPr="00BC55D3">
        <w:rPr>
          <w:rFonts w:cs="Arial"/>
          <w:szCs w:val="22"/>
          <w:lang w:val="en-US"/>
        </w:rPr>
        <w:t>Since FG balancing is being developed, there are still uncertainties)</w:t>
      </w:r>
      <w:r>
        <w:rPr>
          <w:rFonts w:cs="Arial"/>
          <w:szCs w:val="22"/>
        </w:rPr>
        <w:t>.</w:t>
      </w:r>
    </w:p>
    <w:p w:rsidR="00CA489E" w:rsidRDefault="00CA489E" w:rsidP="001643DB">
      <w:pPr>
        <w:keepLines w:val="0"/>
        <w:autoSpaceDE w:val="0"/>
        <w:autoSpaceDN w:val="0"/>
        <w:adjustRightInd w:val="0"/>
        <w:rPr>
          <w:rFonts w:cs="Arial"/>
          <w:szCs w:val="22"/>
          <w:lang w:val="en-US"/>
        </w:rPr>
      </w:pPr>
    </w:p>
    <w:p w:rsidR="00CA489E" w:rsidRPr="009679CC" w:rsidRDefault="00CA489E" w:rsidP="009679CC">
      <w:pPr>
        <w:keepLines w:val="0"/>
        <w:autoSpaceDE w:val="0"/>
        <w:autoSpaceDN w:val="0"/>
        <w:adjustRightInd w:val="0"/>
        <w:rPr>
          <w:rFonts w:cs="Arial"/>
          <w:bCs w:val="0"/>
          <w:szCs w:val="22"/>
          <w:lang w:val="en-US" w:eastAsia="es-ES"/>
        </w:rPr>
      </w:pPr>
      <w:r w:rsidRPr="009679CC">
        <w:rPr>
          <w:rFonts w:cs="Arial"/>
          <w:bCs w:val="0"/>
          <w:szCs w:val="22"/>
          <w:lang w:val="en-US" w:eastAsia="es-ES"/>
        </w:rPr>
        <w:t xml:space="preserve">The fact that the FG on balancing will be developed between 2011 and 2012 implies </w:t>
      </w:r>
      <w:r>
        <w:rPr>
          <w:rFonts w:cs="Arial"/>
          <w:bCs w:val="0"/>
          <w:szCs w:val="22"/>
          <w:lang w:val="en-US" w:eastAsia="es-ES"/>
        </w:rPr>
        <w:t xml:space="preserve">that, at this stage, there are </w:t>
      </w:r>
      <w:r w:rsidRPr="009679CC">
        <w:rPr>
          <w:rFonts w:cs="Arial"/>
          <w:bCs w:val="0"/>
          <w:szCs w:val="22"/>
          <w:lang w:val="en-US" w:eastAsia="es-ES"/>
        </w:rPr>
        <w:t>uncertainties on the details of the cross-border balancing</w:t>
      </w:r>
      <w:r>
        <w:rPr>
          <w:rFonts w:cs="Arial"/>
          <w:bCs w:val="0"/>
          <w:szCs w:val="22"/>
          <w:lang w:val="en-US" w:eastAsia="es-ES"/>
        </w:rPr>
        <w:t xml:space="preserve"> model</w:t>
      </w:r>
      <w:r w:rsidRPr="009679CC">
        <w:rPr>
          <w:rFonts w:cs="Arial"/>
          <w:bCs w:val="0"/>
          <w:szCs w:val="22"/>
          <w:lang w:val="en-US" w:eastAsia="es-ES"/>
        </w:rPr>
        <w:t>.</w:t>
      </w:r>
    </w:p>
    <w:p w:rsidR="00CA489E" w:rsidRPr="009679CC" w:rsidRDefault="00CA489E" w:rsidP="009679CC">
      <w:pPr>
        <w:keepLines w:val="0"/>
        <w:autoSpaceDE w:val="0"/>
        <w:autoSpaceDN w:val="0"/>
        <w:adjustRightInd w:val="0"/>
        <w:rPr>
          <w:rFonts w:cs="Arial"/>
          <w:bCs w:val="0"/>
          <w:szCs w:val="22"/>
          <w:lang w:val="en-US" w:eastAsia="es-ES"/>
        </w:rPr>
      </w:pPr>
    </w:p>
    <w:p w:rsidR="00CA489E" w:rsidRPr="009679CC" w:rsidRDefault="00CA489E" w:rsidP="009679CC">
      <w:pPr>
        <w:keepLines w:val="0"/>
        <w:autoSpaceDE w:val="0"/>
        <w:autoSpaceDN w:val="0"/>
        <w:adjustRightInd w:val="0"/>
        <w:rPr>
          <w:rFonts w:cs="Arial"/>
          <w:bCs w:val="0"/>
          <w:szCs w:val="22"/>
          <w:lang w:val="en-US" w:eastAsia="es-ES"/>
        </w:rPr>
      </w:pPr>
      <w:r w:rsidRPr="009679CC">
        <w:rPr>
          <w:rFonts w:cs="Arial"/>
          <w:bCs w:val="0"/>
          <w:szCs w:val="22"/>
          <w:lang w:val="en-US" w:eastAsia="es-ES"/>
        </w:rPr>
        <w:t>Timetable:</w:t>
      </w:r>
    </w:p>
    <w:p w:rsidR="00CA489E" w:rsidRDefault="00CA489E" w:rsidP="001643DB">
      <w:pPr>
        <w:spacing w:line="360" w:lineRule="auto"/>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2"/>
        <w:gridCol w:w="1984"/>
        <w:gridCol w:w="2501"/>
      </w:tblGrid>
      <w:tr w:rsidR="00CA489E" w:rsidTr="00C63CF1">
        <w:trPr>
          <w:jc w:val="center"/>
        </w:trPr>
        <w:tc>
          <w:tcPr>
            <w:tcW w:w="8407" w:type="dxa"/>
            <w:gridSpan w:val="3"/>
            <w:shd w:val="clear" w:color="auto" w:fill="336798"/>
          </w:tcPr>
          <w:p w:rsidR="00CA489E" w:rsidRDefault="00CA489E" w:rsidP="00D064AC">
            <w:pPr>
              <w:pStyle w:val="table01"/>
            </w:pPr>
            <w:bookmarkStart w:id="21" w:name="_Toc294259446"/>
            <w:r>
              <w:lastRenderedPageBreak/>
              <w:t>DELIVERABLE I.4 Cross-border balancing among TSOs</w:t>
            </w:r>
            <w:bookmarkEnd w:id="21"/>
          </w:p>
        </w:tc>
      </w:tr>
      <w:tr w:rsidR="00CA489E" w:rsidTr="00C63CF1">
        <w:trPr>
          <w:jc w:val="center"/>
        </w:trPr>
        <w:tc>
          <w:tcPr>
            <w:tcW w:w="3922" w:type="dxa"/>
            <w:shd w:val="clear" w:color="auto" w:fill="336798"/>
          </w:tcPr>
          <w:p w:rsidR="00CA489E" w:rsidRDefault="00CA489E" w:rsidP="00C63CF1">
            <w:pPr>
              <w:keepNext/>
              <w:spacing w:before="40" w:after="40"/>
              <w:jc w:val="center"/>
              <w:rPr>
                <w:rFonts w:ascii="Arial Narrow" w:hAnsi="Arial Narrow"/>
                <w:b/>
                <w:color w:val="FFFFFF"/>
                <w:sz w:val="20"/>
              </w:rPr>
            </w:pPr>
            <w:r>
              <w:rPr>
                <w:rFonts w:ascii="Arial Narrow" w:hAnsi="Arial Narrow"/>
                <w:b/>
                <w:color w:val="FFFFFF"/>
                <w:sz w:val="20"/>
              </w:rPr>
              <w:t>ACTION</w:t>
            </w:r>
          </w:p>
        </w:tc>
        <w:tc>
          <w:tcPr>
            <w:tcW w:w="1984" w:type="dxa"/>
            <w:shd w:val="clear" w:color="auto" w:fill="336798"/>
          </w:tcPr>
          <w:p w:rsidR="00CA489E" w:rsidRDefault="00CA489E" w:rsidP="00C63CF1">
            <w:pPr>
              <w:keepNext/>
              <w:spacing w:before="40" w:after="40"/>
              <w:jc w:val="center"/>
              <w:rPr>
                <w:rFonts w:ascii="Arial Narrow" w:hAnsi="Arial Narrow"/>
                <w:b/>
                <w:color w:val="FFFFFF"/>
                <w:sz w:val="20"/>
              </w:rPr>
            </w:pPr>
            <w:r>
              <w:rPr>
                <w:rFonts w:ascii="Arial Narrow" w:hAnsi="Arial Narrow"/>
                <w:b/>
                <w:color w:val="FFFFFF"/>
                <w:sz w:val="20"/>
              </w:rPr>
              <w:t>RESPONSIBLE</w:t>
            </w:r>
          </w:p>
        </w:tc>
        <w:tc>
          <w:tcPr>
            <w:tcW w:w="2501" w:type="dxa"/>
            <w:shd w:val="clear" w:color="auto" w:fill="336798"/>
          </w:tcPr>
          <w:p w:rsidR="00CA489E" w:rsidRDefault="00CA489E" w:rsidP="00C63CF1">
            <w:pPr>
              <w:keepNext/>
              <w:spacing w:before="40" w:after="40"/>
              <w:jc w:val="center"/>
              <w:rPr>
                <w:rFonts w:ascii="Arial Narrow" w:hAnsi="Arial Narrow"/>
                <w:b/>
                <w:color w:val="FFFFFF"/>
                <w:sz w:val="20"/>
              </w:rPr>
            </w:pPr>
            <w:r>
              <w:rPr>
                <w:rFonts w:ascii="Arial Narrow" w:hAnsi="Arial Narrow"/>
                <w:b/>
                <w:color w:val="FFFFFF"/>
                <w:sz w:val="20"/>
              </w:rPr>
              <w:t>DEADLINE</w:t>
            </w:r>
          </w:p>
        </w:tc>
      </w:tr>
      <w:tr w:rsidR="00CA489E" w:rsidRPr="00B8112A" w:rsidTr="00F95C02">
        <w:trPr>
          <w:cantSplit/>
          <w:trHeight w:val="285"/>
          <w:jc w:val="center"/>
        </w:trPr>
        <w:tc>
          <w:tcPr>
            <w:tcW w:w="3922" w:type="dxa"/>
            <w:shd w:val="clear" w:color="auto" w:fill="FFFFFF"/>
            <w:vAlign w:val="center"/>
          </w:tcPr>
          <w:p w:rsidR="00CA489E" w:rsidRPr="00B8112A" w:rsidRDefault="00CA489E" w:rsidP="00B8112A">
            <w:pPr>
              <w:keepNext/>
              <w:spacing w:before="40" w:after="40"/>
              <w:jc w:val="left"/>
              <w:rPr>
                <w:rFonts w:ascii="Arial Narrow" w:hAnsi="Arial Narrow"/>
                <w:sz w:val="20"/>
              </w:rPr>
            </w:pPr>
            <w:r w:rsidRPr="00B8112A">
              <w:rPr>
                <w:rFonts w:ascii="Arial Narrow" w:hAnsi="Arial Narrow"/>
                <w:sz w:val="20"/>
              </w:rPr>
              <w:t>Step 1. Interim solution REE-RTE using the BALIT platform and interim solution between REE and REN in the framework of the MIBEL. Model Design: preparation of operational and contractual agreements, IT specifications and preparation of regulatory changes.</w:t>
            </w:r>
          </w:p>
        </w:tc>
        <w:tc>
          <w:tcPr>
            <w:tcW w:w="1984" w:type="dxa"/>
            <w:shd w:val="clear" w:color="auto" w:fill="FFFFFF"/>
            <w:vAlign w:val="center"/>
          </w:tcPr>
          <w:p w:rsidR="00CA489E" w:rsidRPr="00B8112A" w:rsidRDefault="00CA489E" w:rsidP="00B8112A">
            <w:pPr>
              <w:keepNext/>
              <w:spacing w:before="40" w:after="40"/>
              <w:jc w:val="center"/>
              <w:rPr>
                <w:rFonts w:ascii="Arial Narrow" w:hAnsi="Arial Narrow"/>
                <w:sz w:val="20"/>
              </w:rPr>
            </w:pPr>
            <w:r w:rsidRPr="00B8112A">
              <w:rPr>
                <w:rFonts w:ascii="Arial Narrow" w:hAnsi="Arial Narrow"/>
                <w:sz w:val="20"/>
              </w:rPr>
              <w:t>IG</w:t>
            </w:r>
          </w:p>
        </w:tc>
        <w:tc>
          <w:tcPr>
            <w:tcW w:w="2501" w:type="dxa"/>
            <w:shd w:val="clear" w:color="auto" w:fill="FFFFFF"/>
            <w:vAlign w:val="center"/>
          </w:tcPr>
          <w:p w:rsidR="00CA489E" w:rsidRPr="00B8112A" w:rsidRDefault="00CA489E" w:rsidP="00B8112A">
            <w:pPr>
              <w:keepNext/>
              <w:spacing w:before="40" w:after="40"/>
              <w:jc w:val="center"/>
              <w:rPr>
                <w:rFonts w:ascii="Arial Narrow" w:hAnsi="Arial Narrow"/>
                <w:sz w:val="20"/>
              </w:rPr>
            </w:pPr>
            <w:r w:rsidRPr="00B8112A">
              <w:rPr>
                <w:rFonts w:ascii="Arial Narrow" w:hAnsi="Arial Narrow"/>
                <w:sz w:val="20"/>
              </w:rPr>
              <w:t>Q3 2011</w:t>
            </w:r>
          </w:p>
        </w:tc>
      </w:tr>
      <w:tr w:rsidR="00CA489E" w:rsidRPr="00B8112A" w:rsidTr="00C63CF1">
        <w:trPr>
          <w:cantSplit/>
          <w:trHeight w:val="228"/>
          <w:jc w:val="center"/>
        </w:trPr>
        <w:tc>
          <w:tcPr>
            <w:tcW w:w="3922" w:type="dxa"/>
            <w:shd w:val="clear" w:color="auto" w:fill="FFFFFF"/>
            <w:vAlign w:val="center"/>
          </w:tcPr>
          <w:p w:rsidR="00CA489E" w:rsidRPr="00B8112A" w:rsidRDefault="00CA489E" w:rsidP="00B8112A">
            <w:pPr>
              <w:keepNext/>
              <w:spacing w:before="40" w:after="40"/>
              <w:jc w:val="left"/>
              <w:rPr>
                <w:rFonts w:ascii="Arial Narrow" w:hAnsi="Arial Narrow"/>
                <w:sz w:val="20"/>
              </w:rPr>
            </w:pPr>
            <w:r w:rsidRPr="00B8112A">
              <w:rPr>
                <w:rFonts w:ascii="Arial Narrow" w:hAnsi="Arial Narrow"/>
                <w:sz w:val="20"/>
              </w:rPr>
              <w:t>IT development and testing phase</w:t>
            </w:r>
          </w:p>
        </w:tc>
        <w:tc>
          <w:tcPr>
            <w:tcW w:w="1984" w:type="dxa"/>
            <w:shd w:val="clear" w:color="auto" w:fill="FFFFFF"/>
            <w:vAlign w:val="center"/>
          </w:tcPr>
          <w:p w:rsidR="00CA489E" w:rsidRPr="00B8112A" w:rsidRDefault="00CA489E" w:rsidP="00B8112A">
            <w:pPr>
              <w:keepNext/>
              <w:spacing w:before="40" w:after="40"/>
              <w:jc w:val="center"/>
              <w:rPr>
                <w:rFonts w:ascii="Arial Narrow" w:hAnsi="Arial Narrow"/>
                <w:sz w:val="20"/>
              </w:rPr>
            </w:pPr>
            <w:r w:rsidRPr="00B8112A">
              <w:rPr>
                <w:rFonts w:ascii="Arial Narrow" w:hAnsi="Arial Narrow"/>
                <w:sz w:val="20"/>
              </w:rPr>
              <w:t>IG</w:t>
            </w:r>
          </w:p>
        </w:tc>
        <w:tc>
          <w:tcPr>
            <w:tcW w:w="2501" w:type="dxa"/>
            <w:shd w:val="clear" w:color="auto" w:fill="FFFFFF"/>
            <w:vAlign w:val="center"/>
          </w:tcPr>
          <w:p w:rsidR="00CA489E" w:rsidRPr="00B8112A" w:rsidRDefault="00CA489E" w:rsidP="00B8112A">
            <w:pPr>
              <w:keepNext/>
              <w:spacing w:before="40" w:after="40"/>
              <w:jc w:val="center"/>
              <w:rPr>
                <w:rFonts w:ascii="Arial Narrow" w:hAnsi="Arial Narrow"/>
                <w:sz w:val="20"/>
              </w:rPr>
            </w:pPr>
            <w:r w:rsidRPr="00B8112A">
              <w:rPr>
                <w:rFonts w:ascii="Arial Narrow" w:hAnsi="Arial Narrow"/>
                <w:sz w:val="20"/>
              </w:rPr>
              <w:t>Q2 2012</w:t>
            </w:r>
          </w:p>
        </w:tc>
      </w:tr>
      <w:tr w:rsidR="00CA489E" w:rsidRPr="00B8112A" w:rsidTr="00F95C02">
        <w:trPr>
          <w:cantSplit/>
          <w:trHeight w:val="228"/>
          <w:jc w:val="center"/>
        </w:trPr>
        <w:tc>
          <w:tcPr>
            <w:tcW w:w="3922" w:type="dxa"/>
            <w:shd w:val="clear" w:color="auto" w:fill="FFFFFF"/>
            <w:vAlign w:val="center"/>
          </w:tcPr>
          <w:p w:rsidR="00CA489E" w:rsidRPr="00B8112A" w:rsidRDefault="00CA489E" w:rsidP="00B8112A">
            <w:pPr>
              <w:keepNext/>
              <w:spacing w:before="40" w:after="40"/>
              <w:jc w:val="left"/>
              <w:rPr>
                <w:rFonts w:ascii="Arial Narrow" w:hAnsi="Arial Narrow"/>
                <w:sz w:val="20"/>
              </w:rPr>
            </w:pPr>
            <w:r w:rsidRPr="00B8112A">
              <w:rPr>
                <w:rFonts w:ascii="Arial Narrow" w:hAnsi="Arial Narrow"/>
                <w:sz w:val="20"/>
              </w:rPr>
              <w:t>Legal approval of regulatory changes</w:t>
            </w:r>
          </w:p>
        </w:tc>
        <w:tc>
          <w:tcPr>
            <w:tcW w:w="1984" w:type="dxa"/>
            <w:shd w:val="clear" w:color="auto" w:fill="FFFFFF"/>
            <w:vAlign w:val="center"/>
          </w:tcPr>
          <w:p w:rsidR="00CA489E" w:rsidRPr="00B8112A" w:rsidRDefault="00CA489E" w:rsidP="00B8112A">
            <w:pPr>
              <w:keepNext/>
              <w:spacing w:before="40" w:after="40"/>
              <w:jc w:val="center"/>
              <w:rPr>
                <w:rFonts w:ascii="Arial Narrow" w:hAnsi="Arial Narrow"/>
                <w:sz w:val="20"/>
              </w:rPr>
            </w:pPr>
            <w:r w:rsidRPr="00B8112A">
              <w:rPr>
                <w:rFonts w:ascii="Arial Narrow" w:hAnsi="Arial Narrow"/>
                <w:sz w:val="20"/>
              </w:rPr>
              <w:t>RCC and Governments</w:t>
            </w:r>
          </w:p>
        </w:tc>
        <w:tc>
          <w:tcPr>
            <w:tcW w:w="2501" w:type="dxa"/>
            <w:shd w:val="clear" w:color="auto" w:fill="FFFFFF"/>
            <w:vAlign w:val="center"/>
          </w:tcPr>
          <w:p w:rsidR="00CA489E" w:rsidRPr="00B8112A" w:rsidRDefault="00CA489E" w:rsidP="00B8112A">
            <w:pPr>
              <w:keepNext/>
              <w:spacing w:before="40" w:after="40"/>
              <w:jc w:val="center"/>
              <w:rPr>
                <w:rFonts w:ascii="Arial Narrow" w:hAnsi="Arial Narrow"/>
                <w:sz w:val="20"/>
              </w:rPr>
            </w:pPr>
            <w:r w:rsidRPr="00B8112A">
              <w:rPr>
                <w:rFonts w:ascii="Arial Narrow" w:hAnsi="Arial Narrow"/>
                <w:sz w:val="20"/>
              </w:rPr>
              <w:t>Q2 2012</w:t>
            </w:r>
          </w:p>
        </w:tc>
      </w:tr>
      <w:tr w:rsidR="00CA489E" w:rsidRPr="00B8112A" w:rsidTr="00F95C02">
        <w:trPr>
          <w:cantSplit/>
          <w:trHeight w:val="228"/>
          <w:jc w:val="center"/>
        </w:trPr>
        <w:tc>
          <w:tcPr>
            <w:tcW w:w="3922" w:type="dxa"/>
            <w:shd w:val="clear" w:color="auto" w:fill="FFFFFF"/>
            <w:vAlign w:val="center"/>
          </w:tcPr>
          <w:p w:rsidR="00CA489E" w:rsidRPr="00B8112A" w:rsidRDefault="00CA489E" w:rsidP="00B8112A">
            <w:pPr>
              <w:keepNext/>
              <w:spacing w:before="40" w:after="40"/>
              <w:jc w:val="left"/>
              <w:rPr>
                <w:rFonts w:ascii="Arial Narrow" w:hAnsi="Arial Narrow"/>
                <w:sz w:val="20"/>
              </w:rPr>
            </w:pPr>
            <w:r w:rsidRPr="00B8112A">
              <w:rPr>
                <w:rFonts w:ascii="Arial Narrow" w:hAnsi="Arial Narrow"/>
                <w:sz w:val="20"/>
              </w:rPr>
              <w:t>Interim bilateral CB balancing TSO-TSO solutions go-live</w:t>
            </w:r>
          </w:p>
        </w:tc>
        <w:tc>
          <w:tcPr>
            <w:tcW w:w="1984" w:type="dxa"/>
            <w:shd w:val="clear" w:color="auto" w:fill="FFFFFF"/>
            <w:vAlign w:val="center"/>
          </w:tcPr>
          <w:p w:rsidR="00CA489E" w:rsidRPr="00B8112A" w:rsidRDefault="00CA489E" w:rsidP="00B8112A">
            <w:pPr>
              <w:keepNext/>
              <w:spacing w:before="40" w:after="40"/>
              <w:jc w:val="center"/>
              <w:rPr>
                <w:rFonts w:ascii="Arial Narrow" w:hAnsi="Arial Narrow"/>
                <w:sz w:val="20"/>
              </w:rPr>
            </w:pPr>
            <w:r w:rsidRPr="00B8112A">
              <w:rPr>
                <w:rFonts w:ascii="Arial Narrow" w:hAnsi="Arial Narrow"/>
                <w:sz w:val="20"/>
              </w:rPr>
              <w:t>IG</w:t>
            </w:r>
          </w:p>
        </w:tc>
        <w:tc>
          <w:tcPr>
            <w:tcW w:w="2501" w:type="dxa"/>
            <w:shd w:val="clear" w:color="auto" w:fill="FFFFFF"/>
            <w:vAlign w:val="center"/>
          </w:tcPr>
          <w:p w:rsidR="00CA489E" w:rsidRPr="00B8112A" w:rsidRDefault="00CA489E" w:rsidP="00B8112A">
            <w:pPr>
              <w:keepNext/>
              <w:spacing w:before="40" w:after="40"/>
              <w:jc w:val="center"/>
              <w:rPr>
                <w:rFonts w:ascii="Arial Narrow" w:hAnsi="Arial Narrow"/>
                <w:sz w:val="20"/>
              </w:rPr>
            </w:pPr>
            <w:r w:rsidRPr="00B8112A">
              <w:rPr>
                <w:rFonts w:ascii="Arial Narrow" w:hAnsi="Arial Narrow"/>
                <w:sz w:val="20"/>
              </w:rPr>
              <w:t>Q3 2012</w:t>
            </w:r>
          </w:p>
        </w:tc>
      </w:tr>
      <w:tr w:rsidR="00CA489E" w:rsidRPr="00B8112A" w:rsidTr="00F95C02">
        <w:trPr>
          <w:cantSplit/>
          <w:trHeight w:val="228"/>
          <w:jc w:val="center"/>
        </w:trPr>
        <w:tc>
          <w:tcPr>
            <w:tcW w:w="3922" w:type="dxa"/>
            <w:shd w:val="clear" w:color="auto" w:fill="FFFFFF"/>
            <w:vAlign w:val="center"/>
          </w:tcPr>
          <w:p w:rsidR="00CA489E" w:rsidRPr="00B8112A" w:rsidRDefault="00CA489E" w:rsidP="00B8112A">
            <w:pPr>
              <w:keepNext/>
              <w:spacing w:before="40" w:after="40"/>
              <w:jc w:val="left"/>
              <w:rPr>
                <w:rFonts w:ascii="Arial Narrow" w:hAnsi="Arial Narrow"/>
                <w:sz w:val="20"/>
              </w:rPr>
            </w:pPr>
            <w:r w:rsidRPr="00B8112A">
              <w:rPr>
                <w:rFonts w:ascii="Arial Narrow" w:hAnsi="Arial Narrow"/>
                <w:sz w:val="20"/>
              </w:rPr>
              <w:t>Step 2. Implementation of a multi-TSO enduring solution. Model Design: preparation of operational and contractual issues</w:t>
            </w:r>
          </w:p>
        </w:tc>
        <w:tc>
          <w:tcPr>
            <w:tcW w:w="1984" w:type="dxa"/>
            <w:shd w:val="clear" w:color="auto" w:fill="FFFFFF"/>
            <w:vAlign w:val="center"/>
          </w:tcPr>
          <w:p w:rsidR="00CA489E" w:rsidRPr="00B8112A" w:rsidRDefault="00CA489E" w:rsidP="00B8112A">
            <w:pPr>
              <w:keepNext/>
              <w:spacing w:before="40" w:after="40"/>
              <w:jc w:val="center"/>
              <w:rPr>
                <w:rFonts w:ascii="Arial Narrow" w:hAnsi="Arial Narrow"/>
                <w:sz w:val="20"/>
              </w:rPr>
            </w:pPr>
            <w:r w:rsidRPr="00B8112A">
              <w:rPr>
                <w:rFonts w:ascii="Arial Narrow" w:hAnsi="Arial Narrow"/>
                <w:sz w:val="20"/>
              </w:rPr>
              <w:t>IG</w:t>
            </w:r>
          </w:p>
        </w:tc>
        <w:tc>
          <w:tcPr>
            <w:tcW w:w="2501" w:type="dxa"/>
            <w:shd w:val="clear" w:color="auto" w:fill="FFFFFF"/>
            <w:vAlign w:val="center"/>
          </w:tcPr>
          <w:p w:rsidR="00CA489E" w:rsidRPr="00B8112A" w:rsidRDefault="00CA489E" w:rsidP="00B8112A">
            <w:pPr>
              <w:keepNext/>
              <w:spacing w:before="40" w:after="40"/>
              <w:jc w:val="center"/>
              <w:rPr>
                <w:rFonts w:ascii="Arial Narrow" w:hAnsi="Arial Narrow"/>
                <w:sz w:val="20"/>
              </w:rPr>
            </w:pPr>
            <w:r w:rsidRPr="00B8112A">
              <w:rPr>
                <w:rFonts w:ascii="Arial Narrow" w:hAnsi="Arial Narrow"/>
                <w:sz w:val="20"/>
              </w:rPr>
              <w:t>Q3 2011</w:t>
            </w:r>
          </w:p>
        </w:tc>
      </w:tr>
      <w:tr w:rsidR="00CA489E" w:rsidRPr="00B8112A" w:rsidTr="00F95C02">
        <w:trPr>
          <w:cantSplit/>
          <w:trHeight w:val="228"/>
          <w:jc w:val="center"/>
        </w:trPr>
        <w:tc>
          <w:tcPr>
            <w:tcW w:w="3922" w:type="dxa"/>
            <w:shd w:val="clear" w:color="auto" w:fill="FFFFFF"/>
            <w:vAlign w:val="center"/>
          </w:tcPr>
          <w:p w:rsidR="00CA489E" w:rsidRPr="00B8112A" w:rsidRDefault="00CA489E" w:rsidP="00B8112A">
            <w:pPr>
              <w:keepNext/>
              <w:spacing w:before="40" w:after="40"/>
              <w:jc w:val="left"/>
              <w:rPr>
                <w:rFonts w:ascii="Arial Narrow" w:hAnsi="Arial Narrow"/>
                <w:sz w:val="20"/>
              </w:rPr>
            </w:pPr>
            <w:r w:rsidRPr="00B8112A">
              <w:rPr>
                <w:rFonts w:ascii="Arial Narrow" w:hAnsi="Arial Narrow"/>
                <w:sz w:val="20"/>
              </w:rPr>
              <w:t>Identification of Regulatory and IT system changes</w:t>
            </w:r>
          </w:p>
        </w:tc>
        <w:tc>
          <w:tcPr>
            <w:tcW w:w="1984" w:type="dxa"/>
            <w:shd w:val="clear" w:color="auto" w:fill="FFFFFF"/>
            <w:vAlign w:val="center"/>
          </w:tcPr>
          <w:p w:rsidR="00CA489E" w:rsidRPr="00B8112A" w:rsidRDefault="00CA489E" w:rsidP="00B8112A">
            <w:pPr>
              <w:keepNext/>
              <w:spacing w:before="40" w:after="40"/>
              <w:jc w:val="center"/>
              <w:rPr>
                <w:rFonts w:ascii="Arial Narrow" w:hAnsi="Arial Narrow"/>
                <w:sz w:val="20"/>
              </w:rPr>
            </w:pPr>
            <w:r w:rsidRPr="00B8112A">
              <w:rPr>
                <w:rFonts w:ascii="Arial Narrow" w:hAnsi="Arial Narrow"/>
                <w:sz w:val="20"/>
              </w:rPr>
              <w:t>IG</w:t>
            </w:r>
          </w:p>
        </w:tc>
        <w:tc>
          <w:tcPr>
            <w:tcW w:w="2501" w:type="dxa"/>
            <w:shd w:val="clear" w:color="auto" w:fill="FFFFFF"/>
            <w:vAlign w:val="center"/>
          </w:tcPr>
          <w:p w:rsidR="00CA489E" w:rsidRPr="00B8112A" w:rsidRDefault="00CA489E" w:rsidP="00B8112A">
            <w:pPr>
              <w:keepNext/>
              <w:spacing w:before="40" w:after="40"/>
              <w:jc w:val="center"/>
              <w:rPr>
                <w:rFonts w:ascii="Arial Narrow" w:hAnsi="Arial Narrow"/>
                <w:sz w:val="20"/>
              </w:rPr>
            </w:pPr>
            <w:r w:rsidRPr="00B8112A">
              <w:rPr>
                <w:rFonts w:ascii="Arial Narrow" w:hAnsi="Arial Narrow"/>
                <w:sz w:val="20"/>
              </w:rPr>
              <w:t>Q4 2011</w:t>
            </w:r>
          </w:p>
        </w:tc>
      </w:tr>
      <w:tr w:rsidR="00CA489E" w:rsidRPr="00B8112A" w:rsidTr="00F95C02">
        <w:trPr>
          <w:cantSplit/>
          <w:trHeight w:val="228"/>
          <w:jc w:val="center"/>
        </w:trPr>
        <w:tc>
          <w:tcPr>
            <w:tcW w:w="3922" w:type="dxa"/>
            <w:shd w:val="clear" w:color="auto" w:fill="FFFFFF"/>
            <w:vAlign w:val="center"/>
          </w:tcPr>
          <w:p w:rsidR="00CA489E" w:rsidRPr="00B8112A" w:rsidRDefault="00CA489E" w:rsidP="00B8112A">
            <w:pPr>
              <w:keepNext/>
              <w:spacing w:before="40" w:after="40"/>
              <w:jc w:val="left"/>
              <w:rPr>
                <w:rFonts w:ascii="Arial Narrow" w:hAnsi="Arial Narrow"/>
                <w:sz w:val="20"/>
              </w:rPr>
            </w:pPr>
            <w:r w:rsidRPr="00B8112A">
              <w:rPr>
                <w:rFonts w:ascii="Arial Narrow" w:hAnsi="Arial Narrow"/>
                <w:sz w:val="20"/>
              </w:rPr>
              <w:t>Comments on ACER Balancing Guideline, preparation for ENTSO-E NC drafting</w:t>
            </w:r>
          </w:p>
        </w:tc>
        <w:tc>
          <w:tcPr>
            <w:tcW w:w="1984" w:type="dxa"/>
            <w:shd w:val="clear" w:color="auto" w:fill="FFFFFF"/>
            <w:vAlign w:val="center"/>
          </w:tcPr>
          <w:p w:rsidR="00CA489E" w:rsidRPr="00B8112A" w:rsidRDefault="00CA489E" w:rsidP="00B8112A">
            <w:pPr>
              <w:keepNext/>
              <w:spacing w:before="40" w:after="40"/>
              <w:jc w:val="center"/>
              <w:rPr>
                <w:rFonts w:ascii="Arial Narrow" w:hAnsi="Arial Narrow"/>
                <w:sz w:val="20"/>
              </w:rPr>
            </w:pPr>
            <w:r w:rsidRPr="00B8112A">
              <w:rPr>
                <w:rFonts w:ascii="Arial Narrow" w:hAnsi="Arial Narrow"/>
                <w:sz w:val="20"/>
              </w:rPr>
              <w:t>IG</w:t>
            </w:r>
          </w:p>
        </w:tc>
        <w:tc>
          <w:tcPr>
            <w:tcW w:w="2501" w:type="dxa"/>
            <w:shd w:val="clear" w:color="auto" w:fill="FFFFFF"/>
            <w:vAlign w:val="center"/>
          </w:tcPr>
          <w:p w:rsidR="00CA489E" w:rsidRPr="00B8112A" w:rsidRDefault="00CA489E" w:rsidP="00B8112A">
            <w:pPr>
              <w:keepNext/>
              <w:spacing w:before="40" w:after="40"/>
              <w:jc w:val="center"/>
              <w:rPr>
                <w:rFonts w:ascii="Arial Narrow" w:hAnsi="Arial Narrow"/>
                <w:sz w:val="20"/>
              </w:rPr>
            </w:pPr>
            <w:r w:rsidRPr="00B8112A">
              <w:rPr>
                <w:rFonts w:ascii="Arial Narrow" w:hAnsi="Arial Narrow"/>
                <w:sz w:val="20"/>
              </w:rPr>
              <w:t>Q1 2012</w:t>
            </w:r>
          </w:p>
        </w:tc>
      </w:tr>
      <w:tr w:rsidR="00CA489E" w:rsidRPr="00B8112A" w:rsidTr="00C63CF1">
        <w:trPr>
          <w:cantSplit/>
          <w:trHeight w:val="228"/>
          <w:jc w:val="center"/>
        </w:trPr>
        <w:tc>
          <w:tcPr>
            <w:tcW w:w="3922" w:type="dxa"/>
            <w:shd w:val="clear" w:color="auto" w:fill="FFFFFF"/>
            <w:vAlign w:val="center"/>
          </w:tcPr>
          <w:p w:rsidR="00CA489E" w:rsidRPr="00B8112A" w:rsidRDefault="00CA489E" w:rsidP="00B8112A">
            <w:pPr>
              <w:keepNext/>
              <w:spacing w:before="40" w:after="40"/>
              <w:jc w:val="left"/>
              <w:rPr>
                <w:rFonts w:ascii="Arial Narrow" w:hAnsi="Arial Narrow"/>
                <w:sz w:val="20"/>
              </w:rPr>
            </w:pPr>
            <w:r w:rsidRPr="00B8112A">
              <w:rPr>
                <w:rFonts w:ascii="Arial Narrow" w:hAnsi="Arial Narrow"/>
                <w:sz w:val="20"/>
              </w:rPr>
              <w:t>Review of the model design</w:t>
            </w:r>
          </w:p>
        </w:tc>
        <w:tc>
          <w:tcPr>
            <w:tcW w:w="1984" w:type="dxa"/>
            <w:shd w:val="clear" w:color="auto" w:fill="FFFFFF"/>
            <w:vAlign w:val="center"/>
          </w:tcPr>
          <w:p w:rsidR="00CA489E" w:rsidRPr="00B8112A" w:rsidRDefault="00CA489E" w:rsidP="00B8112A">
            <w:pPr>
              <w:keepNext/>
              <w:spacing w:before="40" w:after="40"/>
              <w:jc w:val="center"/>
              <w:rPr>
                <w:rFonts w:ascii="Arial Narrow" w:hAnsi="Arial Narrow"/>
                <w:sz w:val="20"/>
              </w:rPr>
            </w:pPr>
            <w:r w:rsidRPr="00B8112A">
              <w:rPr>
                <w:rFonts w:ascii="Arial Narrow" w:hAnsi="Arial Narrow"/>
                <w:sz w:val="20"/>
              </w:rPr>
              <w:t>IG</w:t>
            </w:r>
          </w:p>
        </w:tc>
        <w:tc>
          <w:tcPr>
            <w:tcW w:w="2501" w:type="dxa"/>
            <w:shd w:val="clear" w:color="auto" w:fill="FFFFFF"/>
            <w:vAlign w:val="center"/>
          </w:tcPr>
          <w:p w:rsidR="00CA489E" w:rsidRPr="00B8112A" w:rsidRDefault="00CA489E" w:rsidP="00B8112A">
            <w:pPr>
              <w:keepNext/>
              <w:spacing w:before="40" w:after="40"/>
              <w:jc w:val="center"/>
              <w:rPr>
                <w:rFonts w:ascii="Arial Narrow" w:hAnsi="Arial Narrow"/>
                <w:sz w:val="20"/>
              </w:rPr>
            </w:pPr>
            <w:r w:rsidRPr="00B8112A">
              <w:rPr>
                <w:rFonts w:ascii="Arial Narrow" w:hAnsi="Arial Narrow"/>
                <w:sz w:val="20"/>
              </w:rPr>
              <w:t>Q4 2013</w:t>
            </w:r>
          </w:p>
        </w:tc>
      </w:tr>
      <w:tr w:rsidR="00CA489E" w:rsidRPr="00B8112A" w:rsidTr="00C63CF1">
        <w:trPr>
          <w:cantSplit/>
          <w:trHeight w:val="228"/>
          <w:jc w:val="center"/>
        </w:trPr>
        <w:tc>
          <w:tcPr>
            <w:tcW w:w="3922" w:type="dxa"/>
            <w:shd w:val="clear" w:color="auto" w:fill="FFFFFF"/>
            <w:vAlign w:val="center"/>
          </w:tcPr>
          <w:p w:rsidR="00CA489E" w:rsidRPr="00B8112A" w:rsidRDefault="00CA489E" w:rsidP="00B8112A">
            <w:pPr>
              <w:keepNext/>
              <w:spacing w:before="40" w:after="40"/>
              <w:jc w:val="left"/>
              <w:rPr>
                <w:rFonts w:ascii="Arial Narrow" w:hAnsi="Arial Narrow"/>
                <w:sz w:val="20"/>
              </w:rPr>
            </w:pPr>
            <w:r w:rsidRPr="00B8112A">
              <w:rPr>
                <w:rFonts w:ascii="Arial Narrow" w:hAnsi="Arial Narrow"/>
                <w:sz w:val="20"/>
              </w:rPr>
              <w:t>IT development and testing phase</w:t>
            </w:r>
          </w:p>
        </w:tc>
        <w:tc>
          <w:tcPr>
            <w:tcW w:w="1984" w:type="dxa"/>
            <w:shd w:val="clear" w:color="auto" w:fill="FFFFFF"/>
            <w:vAlign w:val="center"/>
          </w:tcPr>
          <w:p w:rsidR="00CA489E" w:rsidRPr="00B8112A" w:rsidRDefault="00CA489E" w:rsidP="00B8112A">
            <w:pPr>
              <w:keepNext/>
              <w:spacing w:before="40" w:after="40"/>
              <w:jc w:val="center"/>
              <w:rPr>
                <w:rFonts w:ascii="Arial Narrow" w:hAnsi="Arial Narrow"/>
                <w:sz w:val="20"/>
              </w:rPr>
            </w:pPr>
            <w:r w:rsidRPr="00B8112A">
              <w:rPr>
                <w:rFonts w:ascii="Arial Narrow" w:hAnsi="Arial Narrow"/>
                <w:sz w:val="20"/>
              </w:rPr>
              <w:t>IG</w:t>
            </w:r>
          </w:p>
        </w:tc>
        <w:tc>
          <w:tcPr>
            <w:tcW w:w="2501" w:type="dxa"/>
            <w:shd w:val="clear" w:color="auto" w:fill="FFFFFF"/>
            <w:vAlign w:val="center"/>
          </w:tcPr>
          <w:p w:rsidR="00CA489E" w:rsidRPr="00B8112A" w:rsidRDefault="00CA489E" w:rsidP="00B8112A">
            <w:pPr>
              <w:keepNext/>
              <w:spacing w:before="40" w:after="40"/>
              <w:jc w:val="center"/>
              <w:rPr>
                <w:rFonts w:ascii="Arial Narrow" w:hAnsi="Arial Narrow"/>
                <w:sz w:val="20"/>
              </w:rPr>
            </w:pPr>
            <w:r w:rsidRPr="00B8112A">
              <w:rPr>
                <w:rFonts w:ascii="Arial Narrow" w:hAnsi="Arial Narrow"/>
                <w:sz w:val="20"/>
              </w:rPr>
              <w:t>Q3 2014</w:t>
            </w:r>
          </w:p>
        </w:tc>
      </w:tr>
      <w:tr w:rsidR="00CA489E" w:rsidRPr="00B8112A" w:rsidTr="00C63CF1">
        <w:trPr>
          <w:cantSplit/>
          <w:trHeight w:val="228"/>
          <w:jc w:val="center"/>
        </w:trPr>
        <w:tc>
          <w:tcPr>
            <w:tcW w:w="3922" w:type="dxa"/>
            <w:shd w:val="clear" w:color="auto" w:fill="FFFFFF"/>
            <w:vAlign w:val="center"/>
          </w:tcPr>
          <w:p w:rsidR="00CA489E" w:rsidRPr="00B8112A" w:rsidRDefault="00CA489E" w:rsidP="00B8112A">
            <w:pPr>
              <w:keepNext/>
              <w:spacing w:before="40" w:after="40"/>
              <w:jc w:val="left"/>
              <w:rPr>
                <w:rFonts w:ascii="Arial Narrow" w:hAnsi="Arial Narrow"/>
                <w:sz w:val="20"/>
              </w:rPr>
            </w:pPr>
            <w:r w:rsidRPr="00B8112A">
              <w:rPr>
                <w:rFonts w:ascii="Arial Narrow" w:hAnsi="Arial Narrow"/>
                <w:sz w:val="20"/>
              </w:rPr>
              <w:t>Legal approval of regulatory changes</w:t>
            </w:r>
          </w:p>
        </w:tc>
        <w:tc>
          <w:tcPr>
            <w:tcW w:w="1984" w:type="dxa"/>
            <w:shd w:val="clear" w:color="auto" w:fill="FFFFFF"/>
            <w:vAlign w:val="center"/>
          </w:tcPr>
          <w:p w:rsidR="00CA489E" w:rsidRPr="00B8112A" w:rsidRDefault="00CA489E" w:rsidP="00B8112A">
            <w:pPr>
              <w:keepNext/>
              <w:spacing w:before="40" w:after="40"/>
              <w:jc w:val="center"/>
              <w:rPr>
                <w:rFonts w:ascii="Arial Narrow" w:hAnsi="Arial Narrow"/>
                <w:sz w:val="20"/>
              </w:rPr>
            </w:pPr>
            <w:r w:rsidRPr="00B8112A">
              <w:rPr>
                <w:rFonts w:ascii="Arial Narrow" w:hAnsi="Arial Narrow"/>
                <w:sz w:val="20"/>
              </w:rPr>
              <w:t>RCC and Governments</w:t>
            </w:r>
          </w:p>
        </w:tc>
        <w:tc>
          <w:tcPr>
            <w:tcW w:w="2501" w:type="dxa"/>
            <w:shd w:val="clear" w:color="auto" w:fill="FFFFFF"/>
            <w:vAlign w:val="center"/>
          </w:tcPr>
          <w:p w:rsidR="00CA489E" w:rsidRPr="00B8112A" w:rsidRDefault="00CA489E" w:rsidP="00B8112A">
            <w:pPr>
              <w:keepNext/>
              <w:spacing w:before="40" w:after="40"/>
              <w:jc w:val="center"/>
              <w:rPr>
                <w:rFonts w:ascii="Arial Narrow" w:hAnsi="Arial Narrow"/>
                <w:sz w:val="20"/>
              </w:rPr>
            </w:pPr>
            <w:r w:rsidRPr="00B8112A">
              <w:rPr>
                <w:rFonts w:ascii="Arial Narrow" w:hAnsi="Arial Narrow"/>
                <w:sz w:val="20"/>
              </w:rPr>
              <w:t>Q3 2014</w:t>
            </w:r>
          </w:p>
        </w:tc>
      </w:tr>
      <w:tr w:rsidR="00CA489E" w:rsidRPr="00B8112A" w:rsidTr="00C63CF1">
        <w:trPr>
          <w:cantSplit/>
          <w:trHeight w:val="228"/>
          <w:jc w:val="center"/>
        </w:trPr>
        <w:tc>
          <w:tcPr>
            <w:tcW w:w="3922" w:type="dxa"/>
            <w:shd w:val="clear" w:color="auto" w:fill="FFFFFF"/>
            <w:vAlign w:val="center"/>
          </w:tcPr>
          <w:p w:rsidR="00CA489E" w:rsidRPr="00B8112A" w:rsidRDefault="00CA489E" w:rsidP="00B8112A">
            <w:pPr>
              <w:keepNext/>
              <w:spacing w:before="40" w:after="40"/>
              <w:jc w:val="left"/>
              <w:rPr>
                <w:rFonts w:ascii="Arial Narrow" w:hAnsi="Arial Narrow"/>
                <w:sz w:val="20"/>
              </w:rPr>
            </w:pPr>
            <w:r w:rsidRPr="00B8112A">
              <w:rPr>
                <w:rFonts w:ascii="Arial Narrow" w:hAnsi="Arial Narrow"/>
                <w:sz w:val="20"/>
              </w:rPr>
              <w:t>Multi TSO CB balancing enduring solution go-live</w:t>
            </w:r>
          </w:p>
        </w:tc>
        <w:tc>
          <w:tcPr>
            <w:tcW w:w="1984" w:type="dxa"/>
            <w:shd w:val="clear" w:color="auto" w:fill="FFFFFF"/>
            <w:vAlign w:val="center"/>
          </w:tcPr>
          <w:p w:rsidR="00CA489E" w:rsidRPr="00B8112A" w:rsidRDefault="00CA489E" w:rsidP="00B8112A">
            <w:pPr>
              <w:keepNext/>
              <w:spacing w:before="40" w:after="40"/>
              <w:jc w:val="center"/>
              <w:rPr>
                <w:rFonts w:ascii="Arial Narrow" w:hAnsi="Arial Narrow"/>
                <w:sz w:val="20"/>
              </w:rPr>
            </w:pPr>
            <w:r w:rsidRPr="00B8112A">
              <w:rPr>
                <w:rFonts w:ascii="Arial Narrow" w:hAnsi="Arial Narrow"/>
                <w:sz w:val="20"/>
              </w:rPr>
              <w:t>IG</w:t>
            </w:r>
          </w:p>
        </w:tc>
        <w:tc>
          <w:tcPr>
            <w:tcW w:w="2501" w:type="dxa"/>
            <w:shd w:val="clear" w:color="auto" w:fill="FFFFFF"/>
            <w:vAlign w:val="center"/>
          </w:tcPr>
          <w:p w:rsidR="00CA489E" w:rsidRPr="00B8112A" w:rsidRDefault="00CA489E" w:rsidP="00B8112A">
            <w:pPr>
              <w:keepNext/>
              <w:spacing w:before="40" w:after="40"/>
              <w:jc w:val="center"/>
              <w:rPr>
                <w:rFonts w:ascii="Arial Narrow" w:hAnsi="Arial Narrow"/>
                <w:sz w:val="20"/>
              </w:rPr>
            </w:pPr>
            <w:r w:rsidRPr="00B8112A">
              <w:rPr>
                <w:rFonts w:ascii="Arial Narrow" w:hAnsi="Arial Narrow"/>
                <w:sz w:val="20"/>
              </w:rPr>
              <w:t>Q4 2014</w:t>
            </w:r>
          </w:p>
        </w:tc>
      </w:tr>
    </w:tbl>
    <w:p w:rsidR="00CA489E" w:rsidRDefault="00CA489E" w:rsidP="001643DB">
      <w:pPr>
        <w:rPr>
          <w:lang w:val="en-US"/>
        </w:rPr>
      </w:pPr>
    </w:p>
    <w:p w:rsidR="00CA489E" w:rsidRDefault="00CA489E" w:rsidP="001643DB">
      <w:pPr>
        <w:rPr>
          <w:lang w:val="en-US"/>
        </w:rPr>
      </w:pPr>
    </w:p>
    <w:p w:rsidR="00CA489E" w:rsidRDefault="00CA489E" w:rsidP="00B8112A">
      <w:pPr>
        <w:pBdr>
          <w:top w:val="single" w:sz="4" w:space="1" w:color="auto"/>
          <w:left w:val="single" w:sz="4" w:space="4" w:color="auto"/>
          <w:bottom w:val="single" w:sz="4" w:space="1" w:color="auto"/>
          <w:right w:val="single" w:sz="4" w:space="4" w:color="auto"/>
        </w:pBdr>
        <w:rPr>
          <w:u w:val="single"/>
          <w:lang w:val="en-US"/>
        </w:rPr>
      </w:pPr>
    </w:p>
    <w:p w:rsidR="00CA489E" w:rsidRDefault="00CA489E" w:rsidP="00B8112A">
      <w:pPr>
        <w:pBdr>
          <w:top w:val="single" w:sz="4" w:space="1" w:color="auto"/>
          <w:left w:val="single" w:sz="4" w:space="4" w:color="auto"/>
          <w:bottom w:val="single" w:sz="4" w:space="1" w:color="auto"/>
          <w:right w:val="single" w:sz="4" w:space="4" w:color="auto"/>
        </w:pBdr>
        <w:rPr>
          <w:lang w:val="en-US"/>
        </w:rPr>
      </w:pPr>
      <w:r w:rsidRPr="00B8112A">
        <w:rPr>
          <w:u w:val="single"/>
          <w:lang w:val="en-US"/>
        </w:rPr>
        <w:t>Note</w:t>
      </w:r>
      <w:r>
        <w:rPr>
          <w:lang w:val="en-US"/>
        </w:rPr>
        <w:t>:</w:t>
      </w:r>
    </w:p>
    <w:p w:rsidR="00CA489E" w:rsidRDefault="00CA489E" w:rsidP="00B8112A">
      <w:pPr>
        <w:pBdr>
          <w:top w:val="single" w:sz="4" w:space="1" w:color="auto"/>
          <w:left w:val="single" w:sz="4" w:space="4" w:color="auto"/>
          <w:bottom w:val="single" w:sz="4" w:space="1" w:color="auto"/>
          <w:right w:val="single" w:sz="4" w:space="4" w:color="auto"/>
        </w:pBdr>
      </w:pPr>
      <w:r>
        <w:t>The SW region will not work on capacity calculation since a flow-based model will not be applied (because it is not needed). ATC-based capacity calculation is more appropriate in this region. Anyway, the TSOs of the region will have to comply with the relevant Network Code as far as the common grid model is concerned.</w:t>
      </w:r>
    </w:p>
    <w:p w:rsidR="00CA489E" w:rsidRDefault="00CA489E" w:rsidP="00B8112A">
      <w:pPr>
        <w:pBdr>
          <w:top w:val="single" w:sz="4" w:space="1" w:color="auto"/>
          <w:left w:val="single" w:sz="4" w:space="4" w:color="auto"/>
          <w:bottom w:val="single" w:sz="4" w:space="1" w:color="auto"/>
          <w:right w:val="single" w:sz="4" w:space="4" w:color="auto"/>
        </w:pBdr>
      </w:pPr>
    </w:p>
    <w:p w:rsidR="00CA489E" w:rsidRDefault="00CA489E" w:rsidP="001643DB"/>
    <w:p w:rsidR="00CA489E" w:rsidRDefault="00CA489E" w:rsidP="001643DB"/>
    <w:p w:rsidR="00CA489E" w:rsidRDefault="00CA489E">
      <w:pPr>
        <w:keepLines w:val="0"/>
        <w:jc w:val="left"/>
        <w:rPr>
          <w:rFonts w:cs="Arial"/>
          <w:b/>
          <w:bCs w:val="0"/>
          <w:iCs/>
          <w:sz w:val="24"/>
          <w:szCs w:val="28"/>
        </w:rPr>
      </w:pPr>
      <w:bookmarkStart w:id="22" w:name="_Toc293416713"/>
      <w:r>
        <w:br w:type="page"/>
      </w:r>
    </w:p>
    <w:p w:rsidR="00CA489E" w:rsidRDefault="00CA489E">
      <w:pPr>
        <w:pStyle w:val="Ttulo2"/>
      </w:pPr>
      <w:proofErr w:type="gramStart"/>
      <w:r>
        <w:lastRenderedPageBreak/>
        <w:t>Priority II.</w:t>
      </w:r>
      <w:proofErr w:type="gramEnd"/>
      <w:r>
        <w:t xml:space="preserve"> Interconnections and available transmission capacity</w:t>
      </w:r>
      <w:bookmarkEnd w:id="22"/>
    </w:p>
    <w:p w:rsidR="00CA489E" w:rsidRDefault="00CA489E"/>
    <w:p w:rsidR="00CA489E" w:rsidRPr="0010796D" w:rsidRDefault="00CA489E">
      <w:pPr>
        <w:keepLines w:val="0"/>
        <w:autoSpaceDE w:val="0"/>
        <w:autoSpaceDN w:val="0"/>
        <w:adjustRightInd w:val="0"/>
      </w:pPr>
      <w:r w:rsidRPr="0010796D">
        <w:t>This priority will focus on two aspects, first the global figure and second, specific projects:</w:t>
      </w:r>
    </w:p>
    <w:p w:rsidR="00CA489E" w:rsidRPr="0010796D" w:rsidRDefault="00CA489E">
      <w:pPr>
        <w:keepLines w:val="0"/>
        <w:numPr>
          <w:ilvl w:val="0"/>
          <w:numId w:val="15"/>
        </w:numPr>
        <w:autoSpaceDE w:val="0"/>
        <w:autoSpaceDN w:val="0"/>
        <w:adjustRightInd w:val="0"/>
        <w:spacing w:before="240"/>
      </w:pPr>
      <w:r w:rsidRPr="0010796D">
        <w:t xml:space="preserve">Regional investment plan </w:t>
      </w:r>
    </w:p>
    <w:p w:rsidR="00CA489E" w:rsidRPr="0010796D" w:rsidRDefault="00CA489E">
      <w:pPr>
        <w:keepLines w:val="0"/>
        <w:numPr>
          <w:ilvl w:val="0"/>
          <w:numId w:val="15"/>
        </w:numPr>
        <w:autoSpaceDE w:val="0"/>
        <w:autoSpaceDN w:val="0"/>
        <w:adjustRightInd w:val="0"/>
        <w:spacing w:before="240"/>
      </w:pPr>
      <w:r w:rsidRPr="0010796D">
        <w:t>Concrete interconnection projects</w:t>
      </w:r>
    </w:p>
    <w:p w:rsidR="00CA489E" w:rsidRDefault="00CA489E" w:rsidP="00C63CF1">
      <w:pPr>
        <w:keepLines w:val="0"/>
        <w:autoSpaceDE w:val="0"/>
        <w:autoSpaceDN w:val="0"/>
        <w:adjustRightInd w:val="0"/>
        <w:spacing w:before="240"/>
      </w:pPr>
      <w:r>
        <w:t xml:space="preserve">The article 12.1 of Regulation (EC) 714/2009 requires the TSOs to </w:t>
      </w:r>
      <w:r w:rsidRPr="00221A05">
        <w:t xml:space="preserve">publish a regional </w:t>
      </w:r>
      <w:r>
        <w:t>i</w:t>
      </w:r>
      <w:r w:rsidRPr="00221A05">
        <w:t>nvestment plan every two years</w:t>
      </w:r>
      <w:r>
        <w:t>. These regional investment plans must feed the EU-wide TYNDP.</w:t>
      </w:r>
    </w:p>
    <w:p w:rsidR="00CA489E" w:rsidRDefault="00CA489E" w:rsidP="00DC53C3">
      <w:pPr>
        <w:keepLines w:val="0"/>
        <w:autoSpaceDE w:val="0"/>
        <w:autoSpaceDN w:val="0"/>
        <w:adjustRightInd w:val="0"/>
        <w:spacing w:before="240"/>
      </w:pPr>
      <w:r>
        <w:t>The Community-wide ten-year network development plan shall include the modelling of the integrated network, scenario development, European generation adequacy outlook and assessment of the resilience of the system. At regional level, the coherence and consistence of network investment plans will be assessed.</w:t>
      </w:r>
    </w:p>
    <w:p w:rsidR="00CA489E" w:rsidRDefault="00CA489E" w:rsidP="00DC53C3">
      <w:pPr>
        <w:keepLines w:val="0"/>
        <w:autoSpaceDE w:val="0"/>
        <w:autoSpaceDN w:val="0"/>
        <w:adjustRightInd w:val="0"/>
      </w:pPr>
    </w:p>
    <w:p w:rsidR="00CA489E" w:rsidRDefault="00CA489E" w:rsidP="00DC53C3">
      <w:pPr>
        <w:keepLines w:val="0"/>
        <w:autoSpaceDE w:val="0"/>
        <w:autoSpaceDN w:val="0"/>
        <w:adjustRightInd w:val="0"/>
      </w:pPr>
      <w:r>
        <w:t>More specifically, in the two borders, there are concrete interconnection projects that are essential to integrate the markets of the three countries. The TSOs will be invited to update on these projects.</w:t>
      </w:r>
    </w:p>
    <w:p w:rsidR="00CA489E" w:rsidRDefault="00CA489E" w:rsidP="00DC53C3">
      <w:pPr>
        <w:keepLines w:val="0"/>
        <w:autoSpaceDE w:val="0"/>
        <w:autoSpaceDN w:val="0"/>
        <w:adjustRightInd w:val="0"/>
      </w:pPr>
    </w:p>
    <w:p w:rsidR="00CA489E" w:rsidRDefault="00CA489E" w:rsidP="00DC53C3">
      <w:pPr>
        <w:keepLines w:val="0"/>
        <w:autoSpaceDE w:val="0"/>
        <w:autoSpaceDN w:val="0"/>
        <w:adjustRightInd w:val="0"/>
      </w:pPr>
      <w:r>
        <w:t>The following deliverables will be produced on this priority:</w:t>
      </w:r>
    </w:p>
    <w:p w:rsidR="00CA489E" w:rsidRDefault="00CA489E">
      <w:pPr>
        <w:keepLines w:val="0"/>
        <w:autoSpaceDE w:val="0"/>
        <w:autoSpaceDN w:val="0"/>
        <w:adjustRightInd w:val="0"/>
      </w:pPr>
    </w:p>
    <w:p w:rsidR="00CA489E" w:rsidRDefault="00CA489E">
      <w:pPr>
        <w:keepLines w:val="0"/>
        <w:autoSpaceDE w:val="0"/>
        <w:autoSpaceDN w:val="0"/>
        <w:adjustRightInd w:val="0"/>
      </w:pPr>
    </w:p>
    <w:p w:rsidR="00CA489E" w:rsidRDefault="00CA489E">
      <w:pPr>
        <w:pStyle w:val="Ttulo3"/>
      </w:pPr>
      <w:bookmarkStart w:id="23" w:name="_Toc293416714"/>
      <w:r>
        <w:t>Deliverable II.1: Regional investment plan</w:t>
      </w:r>
      <w:bookmarkEnd w:id="23"/>
    </w:p>
    <w:p w:rsidR="00CA489E" w:rsidRDefault="00CA489E">
      <w:pPr>
        <w:keepLines w:val="0"/>
        <w:autoSpaceDE w:val="0"/>
        <w:autoSpaceDN w:val="0"/>
        <w:adjustRightInd w:val="0"/>
        <w:ind w:left="720"/>
      </w:pPr>
    </w:p>
    <w:p w:rsidR="00CA489E" w:rsidRDefault="00CA489E" w:rsidP="00DC53C3">
      <w:pPr>
        <w:keepLines w:val="0"/>
        <w:autoSpaceDE w:val="0"/>
        <w:autoSpaceDN w:val="0"/>
        <w:adjustRightInd w:val="0"/>
      </w:pPr>
      <w:r>
        <w:t>The aim is to assess whether the investment plans in the three countries of the region address the real needs as regards transmission networks in order to solve congestions and promote the integration of the three countries as regards electricity market.</w:t>
      </w:r>
    </w:p>
    <w:p w:rsidR="00CA489E" w:rsidRDefault="00CA489E" w:rsidP="00DC53C3">
      <w:pPr>
        <w:keepLines w:val="0"/>
        <w:autoSpaceDE w:val="0"/>
        <w:autoSpaceDN w:val="0"/>
        <w:adjustRightInd w:val="0"/>
      </w:pPr>
    </w:p>
    <w:p w:rsidR="00CA489E" w:rsidRDefault="00CA489E" w:rsidP="00DC53C3">
      <w:pPr>
        <w:keepLines w:val="0"/>
        <w:autoSpaceDE w:val="0"/>
        <w:autoSpaceDN w:val="0"/>
        <w:adjustRightInd w:val="0"/>
      </w:pPr>
      <w:r>
        <w:t>This topic has an important interrelation with the 2020 sustainability targets as it is recognised that massive investments in networks will be needed so as to accommodate the deployment in renewable power generation required to comply with the 2020 national targets set forth by the Directive 2009/28/CE.</w:t>
      </w:r>
    </w:p>
    <w:p w:rsidR="00CA489E" w:rsidRDefault="00CA489E" w:rsidP="00DC53C3">
      <w:pPr>
        <w:keepLines w:val="0"/>
        <w:autoSpaceDE w:val="0"/>
        <w:autoSpaceDN w:val="0"/>
        <w:adjustRightInd w:val="0"/>
        <w:rPr>
          <w:rFonts w:cs="Arial"/>
          <w:color w:val="000000"/>
          <w:szCs w:val="22"/>
          <w:lang w:val="en-US" w:eastAsia="es-ES"/>
        </w:rPr>
      </w:pPr>
    </w:p>
    <w:p w:rsidR="00CA489E" w:rsidRDefault="00CA489E" w:rsidP="00DC53C3">
      <w:pPr>
        <w:keepLines w:val="0"/>
        <w:autoSpaceDE w:val="0"/>
        <w:autoSpaceDN w:val="0"/>
        <w:adjustRightInd w:val="0"/>
      </w:pPr>
      <w:r>
        <w:t>Furthermore, the increase in interconnection capacity is essential in order to take advantage of renewable generation that can be exported in moments of low internal demand and high renewable output.</w:t>
      </w:r>
    </w:p>
    <w:p w:rsidR="00CA489E" w:rsidRDefault="00CA489E">
      <w:pPr>
        <w:keepLines w:val="0"/>
        <w:autoSpaceDE w:val="0"/>
        <w:autoSpaceDN w:val="0"/>
        <w:adjustRightInd w:val="0"/>
      </w:pPr>
    </w:p>
    <w:p w:rsidR="00CA489E" w:rsidRDefault="00CA489E">
      <w:pPr>
        <w:keepLines w:val="0"/>
        <w:autoSpaceDE w:val="0"/>
        <w:autoSpaceDN w:val="0"/>
        <w:adjustRightInd w:val="0"/>
      </w:pPr>
      <w:r>
        <w:t xml:space="preserve">Since </w:t>
      </w:r>
      <w:r w:rsidRPr="00221A05">
        <w:t xml:space="preserve">regional </w:t>
      </w:r>
      <w:r>
        <w:t>i</w:t>
      </w:r>
      <w:r w:rsidRPr="00221A05">
        <w:t>nvestment plan</w:t>
      </w:r>
      <w:r>
        <w:t>s must be published</w:t>
      </w:r>
      <w:r w:rsidRPr="00221A05">
        <w:t xml:space="preserve"> every two years</w:t>
      </w:r>
      <w:r>
        <w:t>, the following timetable considers the first edition (late 2011) and the second edition (late 2013).</w:t>
      </w:r>
    </w:p>
    <w:p w:rsidR="00CA489E" w:rsidRDefault="00CA489E">
      <w:pPr>
        <w:keepLines w:val="0"/>
        <w:autoSpaceDE w:val="0"/>
        <w:autoSpaceDN w:val="0"/>
        <w:adjustRightInd w:val="0"/>
      </w:pPr>
    </w:p>
    <w:p w:rsidR="00CA489E" w:rsidRPr="00C63CF1" w:rsidRDefault="00CA489E">
      <w:pPr>
        <w:keepLines w:val="0"/>
        <w:autoSpaceDE w:val="0"/>
        <w:autoSpaceDN w:val="0"/>
        <w:adjustRightInd w:val="0"/>
      </w:pPr>
      <w:r w:rsidRPr="00C63CF1">
        <w:t>Timetable:</w:t>
      </w:r>
    </w:p>
    <w:p w:rsidR="00CA489E" w:rsidRDefault="00CA489E">
      <w:pPr>
        <w:keepLines w:val="0"/>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2"/>
        <w:gridCol w:w="1984"/>
        <w:gridCol w:w="2501"/>
      </w:tblGrid>
      <w:tr w:rsidR="00CA489E" w:rsidTr="00713B9A">
        <w:trPr>
          <w:jc w:val="center"/>
        </w:trPr>
        <w:tc>
          <w:tcPr>
            <w:tcW w:w="8407" w:type="dxa"/>
            <w:gridSpan w:val="3"/>
            <w:shd w:val="clear" w:color="auto" w:fill="336798"/>
          </w:tcPr>
          <w:p w:rsidR="00CA489E" w:rsidRDefault="00CA489E" w:rsidP="00C60FF4">
            <w:pPr>
              <w:pStyle w:val="table01"/>
            </w:pPr>
            <w:bookmarkStart w:id="24" w:name="_Toc294259447"/>
            <w:r>
              <w:lastRenderedPageBreak/>
              <w:t>DELIVERABLE II.1. Regional investment plan</w:t>
            </w:r>
            <w:bookmarkEnd w:id="24"/>
          </w:p>
        </w:tc>
      </w:tr>
      <w:tr w:rsidR="00CA489E" w:rsidTr="00713B9A">
        <w:trPr>
          <w:jc w:val="center"/>
        </w:trPr>
        <w:tc>
          <w:tcPr>
            <w:tcW w:w="3922" w:type="dxa"/>
            <w:shd w:val="clear" w:color="auto" w:fill="336798"/>
          </w:tcPr>
          <w:p w:rsidR="00CA489E" w:rsidRDefault="00CA489E">
            <w:pPr>
              <w:keepNext/>
              <w:spacing w:before="40" w:after="40"/>
              <w:jc w:val="center"/>
              <w:rPr>
                <w:rFonts w:ascii="Arial Narrow" w:hAnsi="Arial Narrow"/>
                <w:b/>
                <w:color w:val="FFFFFF"/>
                <w:sz w:val="20"/>
              </w:rPr>
            </w:pPr>
            <w:r>
              <w:rPr>
                <w:rFonts w:ascii="Arial Narrow" w:hAnsi="Arial Narrow"/>
                <w:b/>
                <w:color w:val="FFFFFF"/>
                <w:sz w:val="20"/>
              </w:rPr>
              <w:t>ACTION</w:t>
            </w:r>
          </w:p>
        </w:tc>
        <w:tc>
          <w:tcPr>
            <w:tcW w:w="1984" w:type="dxa"/>
            <w:shd w:val="clear" w:color="auto" w:fill="336798"/>
          </w:tcPr>
          <w:p w:rsidR="00CA489E" w:rsidRDefault="00CA489E">
            <w:pPr>
              <w:keepNext/>
              <w:spacing w:before="40" w:after="40"/>
              <w:jc w:val="center"/>
              <w:rPr>
                <w:rFonts w:ascii="Arial Narrow" w:hAnsi="Arial Narrow"/>
                <w:b/>
                <w:color w:val="FFFFFF"/>
                <w:sz w:val="20"/>
              </w:rPr>
            </w:pPr>
            <w:r>
              <w:rPr>
                <w:rFonts w:ascii="Arial Narrow" w:hAnsi="Arial Narrow"/>
                <w:b/>
                <w:color w:val="FFFFFF"/>
                <w:sz w:val="20"/>
              </w:rPr>
              <w:t>RESPONSIBLE</w:t>
            </w:r>
          </w:p>
        </w:tc>
        <w:tc>
          <w:tcPr>
            <w:tcW w:w="2501" w:type="dxa"/>
            <w:shd w:val="clear" w:color="auto" w:fill="336798"/>
          </w:tcPr>
          <w:p w:rsidR="00CA489E" w:rsidRDefault="00CA489E">
            <w:pPr>
              <w:keepNext/>
              <w:spacing w:before="40" w:after="40"/>
              <w:jc w:val="center"/>
              <w:rPr>
                <w:rFonts w:ascii="Arial Narrow" w:hAnsi="Arial Narrow"/>
                <w:b/>
                <w:color w:val="FFFFFF"/>
                <w:sz w:val="20"/>
              </w:rPr>
            </w:pPr>
            <w:r>
              <w:rPr>
                <w:rFonts w:ascii="Arial Narrow" w:hAnsi="Arial Narrow"/>
                <w:b/>
                <w:color w:val="FFFFFF"/>
                <w:sz w:val="20"/>
              </w:rPr>
              <w:t>DEADLINE</w:t>
            </w:r>
          </w:p>
        </w:tc>
      </w:tr>
      <w:tr w:rsidR="00CA489E" w:rsidTr="00713B9A">
        <w:trPr>
          <w:jc w:val="center"/>
        </w:trPr>
        <w:tc>
          <w:tcPr>
            <w:tcW w:w="8407" w:type="dxa"/>
            <w:gridSpan w:val="3"/>
            <w:tcBorders>
              <w:bottom w:val="single" w:sz="4" w:space="0" w:color="auto"/>
            </w:tcBorders>
            <w:shd w:val="clear" w:color="auto" w:fill="548DD4"/>
          </w:tcPr>
          <w:p w:rsidR="00CA489E" w:rsidRDefault="00CA489E" w:rsidP="00EC2A16">
            <w:pPr>
              <w:keepNext/>
              <w:spacing w:before="40" w:after="40"/>
              <w:jc w:val="center"/>
              <w:rPr>
                <w:rFonts w:ascii="Arial Narrow" w:hAnsi="Arial Narrow"/>
                <w:b/>
                <w:color w:val="FFFFFF"/>
                <w:sz w:val="20"/>
              </w:rPr>
            </w:pPr>
            <w:r>
              <w:rPr>
                <w:rFonts w:ascii="Arial Narrow" w:hAnsi="Arial Narrow"/>
                <w:b/>
                <w:color w:val="FFFFFF"/>
                <w:sz w:val="20"/>
              </w:rPr>
              <w:t>First regional investment plan (2012)</w:t>
            </w:r>
          </w:p>
        </w:tc>
      </w:tr>
      <w:tr w:rsidR="00CA489E" w:rsidTr="00713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3922" w:type="dxa"/>
            <w:tcBorders>
              <w:top w:val="single" w:sz="4" w:space="0" w:color="auto"/>
              <w:left w:val="single" w:sz="4" w:space="0" w:color="auto"/>
              <w:bottom w:val="single" w:sz="4" w:space="0" w:color="auto"/>
              <w:right w:val="single" w:sz="4" w:space="0" w:color="auto"/>
            </w:tcBorders>
            <w:vAlign w:val="center"/>
          </w:tcPr>
          <w:p w:rsidR="00CA489E" w:rsidRPr="00DC53C3" w:rsidRDefault="00CA489E" w:rsidP="00B370C6">
            <w:pPr>
              <w:keepNext/>
              <w:spacing w:before="60" w:after="60"/>
              <w:jc w:val="left"/>
              <w:rPr>
                <w:rFonts w:ascii="Arial Narrow" w:hAnsi="Arial Narrow"/>
                <w:sz w:val="20"/>
              </w:rPr>
            </w:pPr>
            <w:r w:rsidRPr="00DC53C3">
              <w:rPr>
                <w:rFonts w:ascii="Arial Narrow" w:hAnsi="Arial Narrow"/>
                <w:sz w:val="20"/>
              </w:rPr>
              <w:t>Information on structural congestions</w:t>
            </w:r>
          </w:p>
        </w:tc>
        <w:tc>
          <w:tcPr>
            <w:tcW w:w="1984" w:type="dxa"/>
            <w:tcBorders>
              <w:top w:val="single" w:sz="4" w:space="0" w:color="auto"/>
              <w:left w:val="single" w:sz="4" w:space="0" w:color="auto"/>
              <w:bottom w:val="single" w:sz="4" w:space="0" w:color="auto"/>
              <w:right w:val="single" w:sz="4" w:space="0" w:color="auto"/>
            </w:tcBorders>
          </w:tcPr>
          <w:p w:rsidR="00CA489E" w:rsidRPr="00DC53C3" w:rsidRDefault="00CA489E" w:rsidP="00B370C6">
            <w:pPr>
              <w:keepNext/>
              <w:spacing w:before="60" w:after="60"/>
              <w:jc w:val="center"/>
              <w:rPr>
                <w:rFonts w:ascii="Arial Narrow" w:hAnsi="Arial Narrow"/>
                <w:sz w:val="20"/>
              </w:rPr>
            </w:pPr>
            <w:r w:rsidRPr="00DC53C3">
              <w:rPr>
                <w:rFonts w:ascii="Arial Narrow" w:hAnsi="Arial Narrow"/>
                <w:sz w:val="20"/>
              </w:rPr>
              <w:t>TSOs</w:t>
            </w:r>
          </w:p>
        </w:tc>
        <w:tc>
          <w:tcPr>
            <w:tcW w:w="2501" w:type="dxa"/>
            <w:tcBorders>
              <w:top w:val="single" w:sz="4" w:space="0" w:color="auto"/>
              <w:left w:val="single" w:sz="4" w:space="0" w:color="auto"/>
              <w:bottom w:val="single" w:sz="4" w:space="0" w:color="auto"/>
              <w:right w:val="single" w:sz="4" w:space="0" w:color="auto"/>
            </w:tcBorders>
          </w:tcPr>
          <w:p w:rsidR="00CA489E" w:rsidRPr="00DC53C3" w:rsidRDefault="00CA489E" w:rsidP="00B370C6">
            <w:pPr>
              <w:keepNext/>
              <w:spacing w:before="40" w:after="40"/>
              <w:jc w:val="center"/>
              <w:rPr>
                <w:rFonts w:ascii="Arial Narrow" w:hAnsi="Arial Narrow"/>
                <w:sz w:val="20"/>
              </w:rPr>
            </w:pPr>
            <w:r w:rsidRPr="00DC53C3">
              <w:rPr>
                <w:rFonts w:ascii="Arial Narrow" w:hAnsi="Arial Narrow"/>
                <w:sz w:val="20"/>
              </w:rPr>
              <w:t>4</w:t>
            </w:r>
            <w:r w:rsidRPr="00DC53C3">
              <w:rPr>
                <w:rFonts w:ascii="Arial Narrow" w:hAnsi="Arial Narrow"/>
                <w:sz w:val="20"/>
                <w:vertAlign w:val="superscript"/>
              </w:rPr>
              <w:t>th</w:t>
            </w:r>
            <w:r w:rsidRPr="00DC53C3">
              <w:rPr>
                <w:rFonts w:ascii="Arial Narrow" w:hAnsi="Arial Narrow"/>
                <w:sz w:val="20"/>
              </w:rPr>
              <w:t xml:space="preserve"> quarter 2010</w:t>
            </w:r>
          </w:p>
        </w:tc>
      </w:tr>
      <w:tr w:rsidR="00CA489E" w:rsidTr="00713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3922" w:type="dxa"/>
            <w:tcBorders>
              <w:top w:val="single" w:sz="4" w:space="0" w:color="auto"/>
              <w:left w:val="single" w:sz="4" w:space="0" w:color="auto"/>
              <w:bottom w:val="single" w:sz="4" w:space="0" w:color="auto"/>
              <w:right w:val="single" w:sz="4" w:space="0" w:color="auto"/>
            </w:tcBorders>
            <w:vAlign w:val="center"/>
          </w:tcPr>
          <w:p w:rsidR="00CA489E" w:rsidRPr="00DC53C3" w:rsidRDefault="00CA489E" w:rsidP="00B370C6">
            <w:pPr>
              <w:keepNext/>
              <w:spacing w:before="60" w:after="60"/>
              <w:jc w:val="left"/>
              <w:rPr>
                <w:rFonts w:ascii="Arial Narrow" w:hAnsi="Arial Narrow"/>
                <w:sz w:val="20"/>
              </w:rPr>
            </w:pPr>
            <w:r>
              <w:rPr>
                <w:rFonts w:ascii="Arial Narrow" w:hAnsi="Arial Narrow"/>
                <w:sz w:val="20"/>
              </w:rPr>
              <w:t>Update on process and content of the regional investment plan</w:t>
            </w:r>
          </w:p>
        </w:tc>
        <w:tc>
          <w:tcPr>
            <w:tcW w:w="1984" w:type="dxa"/>
            <w:tcBorders>
              <w:top w:val="single" w:sz="4" w:space="0" w:color="auto"/>
              <w:left w:val="single" w:sz="4" w:space="0" w:color="auto"/>
              <w:bottom w:val="single" w:sz="4" w:space="0" w:color="auto"/>
              <w:right w:val="single" w:sz="4" w:space="0" w:color="auto"/>
            </w:tcBorders>
          </w:tcPr>
          <w:p w:rsidR="00CA489E" w:rsidRPr="00DC53C3" w:rsidRDefault="00CA489E" w:rsidP="00B370C6">
            <w:pPr>
              <w:keepNext/>
              <w:spacing w:before="60" w:after="60"/>
              <w:jc w:val="center"/>
              <w:rPr>
                <w:rFonts w:ascii="Arial Narrow" w:hAnsi="Arial Narrow"/>
                <w:sz w:val="20"/>
              </w:rPr>
            </w:pPr>
            <w:r w:rsidRPr="00DC53C3">
              <w:rPr>
                <w:rFonts w:ascii="Arial Narrow" w:hAnsi="Arial Narrow"/>
                <w:sz w:val="20"/>
              </w:rPr>
              <w:t>TSOs</w:t>
            </w:r>
          </w:p>
        </w:tc>
        <w:tc>
          <w:tcPr>
            <w:tcW w:w="2501" w:type="dxa"/>
            <w:tcBorders>
              <w:top w:val="single" w:sz="4" w:space="0" w:color="auto"/>
              <w:left w:val="single" w:sz="4" w:space="0" w:color="auto"/>
              <w:bottom w:val="single" w:sz="4" w:space="0" w:color="auto"/>
              <w:right w:val="single" w:sz="4" w:space="0" w:color="auto"/>
            </w:tcBorders>
          </w:tcPr>
          <w:p w:rsidR="00CA489E" w:rsidRPr="00DC53C3" w:rsidRDefault="00CA489E" w:rsidP="00B370C6">
            <w:pPr>
              <w:keepNext/>
              <w:spacing w:before="40" w:after="40"/>
              <w:jc w:val="center"/>
              <w:rPr>
                <w:rFonts w:ascii="Arial Narrow" w:hAnsi="Arial Narrow"/>
                <w:sz w:val="20"/>
              </w:rPr>
            </w:pPr>
            <w:r>
              <w:rPr>
                <w:rFonts w:ascii="Arial Narrow" w:hAnsi="Arial Narrow"/>
                <w:sz w:val="20"/>
              </w:rPr>
              <w:t>1</w:t>
            </w:r>
            <w:r w:rsidRPr="00DC53C3">
              <w:rPr>
                <w:rFonts w:ascii="Arial Narrow" w:hAnsi="Arial Narrow"/>
                <w:sz w:val="20"/>
                <w:vertAlign w:val="superscript"/>
              </w:rPr>
              <w:t>st</w:t>
            </w:r>
            <w:r>
              <w:rPr>
                <w:rFonts w:ascii="Arial Narrow" w:hAnsi="Arial Narrow"/>
                <w:sz w:val="20"/>
              </w:rPr>
              <w:t xml:space="preserve"> </w:t>
            </w:r>
            <w:r w:rsidRPr="00DC53C3">
              <w:rPr>
                <w:rFonts w:ascii="Arial Narrow" w:hAnsi="Arial Narrow"/>
                <w:sz w:val="20"/>
              </w:rPr>
              <w:t>quarter 201</w:t>
            </w:r>
            <w:r>
              <w:rPr>
                <w:rFonts w:ascii="Arial Narrow" w:hAnsi="Arial Narrow"/>
                <w:sz w:val="20"/>
              </w:rPr>
              <w:t>1</w:t>
            </w:r>
          </w:p>
        </w:tc>
      </w:tr>
      <w:tr w:rsidR="00CA489E" w:rsidRPr="00B55DF9" w:rsidTr="00713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3922" w:type="dxa"/>
            <w:tcBorders>
              <w:top w:val="single" w:sz="4" w:space="0" w:color="auto"/>
              <w:left w:val="single" w:sz="4" w:space="0" w:color="auto"/>
              <w:bottom w:val="single" w:sz="4" w:space="0" w:color="auto"/>
              <w:right w:val="single" w:sz="4" w:space="0" w:color="auto"/>
            </w:tcBorders>
            <w:vAlign w:val="center"/>
          </w:tcPr>
          <w:p w:rsidR="00CA489E" w:rsidRPr="00B55DF9" w:rsidRDefault="002D0191" w:rsidP="00B370C6">
            <w:pPr>
              <w:keepNext/>
              <w:spacing w:before="60" w:after="60"/>
              <w:jc w:val="left"/>
              <w:rPr>
                <w:rFonts w:ascii="Arial Narrow" w:hAnsi="Arial Narrow"/>
                <w:sz w:val="20"/>
              </w:rPr>
            </w:pPr>
            <w:r w:rsidRPr="002D0191">
              <w:rPr>
                <w:rFonts w:ascii="Arial Narrow" w:hAnsi="Arial Narrow"/>
                <w:sz w:val="20"/>
              </w:rPr>
              <w:t xml:space="preserve">TSOs to hold a regional workshop </w:t>
            </w:r>
          </w:p>
        </w:tc>
        <w:tc>
          <w:tcPr>
            <w:tcW w:w="1984" w:type="dxa"/>
            <w:tcBorders>
              <w:top w:val="single" w:sz="4" w:space="0" w:color="auto"/>
              <w:left w:val="single" w:sz="4" w:space="0" w:color="auto"/>
              <w:bottom w:val="single" w:sz="4" w:space="0" w:color="auto"/>
              <w:right w:val="single" w:sz="4" w:space="0" w:color="auto"/>
            </w:tcBorders>
          </w:tcPr>
          <w:p w:rsidR="00CA489E" w:rsidRPr="00B55DF9" w:rsidRDefault="002D0191" w:rsidP="00B370C6">
            <w:pPr>
              <w:keepNext/>
              <w:spacing w:before="60" w:after="60"/>
              <w:jc w:val="center"/>
              <w:rPr>
                <w:rFonts w:ascii="Arial Narrow" w:hAnsi="Arial Narrow"/>
                <w:sz w:val="20"/>
              </w:rPr>
            </w:pPr>
            <w:r w:rsidRPr="002D0191">
              <w:rPr>
                <w:rFonts w:ascii="Arial Narrow" w:hAnsi="Arial Narrow"/>
                <w:sz w:val="20"/>
              </w:rPr>
              <w:t xml:space="preserve">TSOs </w:t>
            </w:r>
            <w:r w:rsidR="00CA489E" w:rsidRPr="004A514A">
              <w:rPr>
                <w:rFonts w:ascii="Arial Narrow" w:hAnsi="Arial Narrow"/>
                <w:sz w:val="20"/>
              </w:rPr>
              <w:t>–</w:t>
            </w:r>
            <w:r w:rsidRPr="002D0191">
              <w:rPr>
                <w:rFonts w:ascii="Arial Narrow" w:hAnsi="Arial Narrow"/>
                <w:sz w:val="20"/>
              </w:rPr>
              <w:t xml:space="preserve"> regional TSO group within ENTSO-E </w:t>
            </w:r>
          </w:p>
        </w:tc>
        <w:tc>
          <w:tcPr>
            <w:tcW w:w="2501" w:type="dxa"/>
            <w:tcBorders>
              <w:top w:val="single" w:sz="4" w:space="0" w:color="auto"/>
              <w:left w:val="single" w:sz="4" w:space="0" w:color="auto"/>
              <w:bottom w:val="single" w:sz="4" w:space="0" w:color="auto"/>
              <w:right w:val="single" w:sz="4" w:space="0" w:color="auto"/>
            </w:tcBorders>
          </w:tcPr>
          <w:p w:rsidR="00822AF7" w:rsidRDefault="002D0191">
            <w:pPr>
              <w:keepNext/>
              <w:spacing w:before="60" w:after="60"/>
              <w:jc w:val="center"/>
              <w:rPr>
                <w:rFonts w:ascii="Arial Narrow" w:hAnsi="Arial Narrow"/>
                <w:sz w:val="20"/>
              </w:rPr>
            </w:pPr>
            <w:r w:rsidRPr="002D0191">
              <w:rPr>
                <w:rFonts w:ascii="Arial Narrow" w:hAnsi="Arial Narrow"/>
                <w:sz w:val="20"/>
              </w:rPr>
              <w:t>4th</w:t>
            </w:r>
            <w:r w:rsidR="00CA489E">
              <w:rPr>
                <w:rFonts w:ascii="Arial Narrow" w:hAnsi="Arial Narrow"/>
                <w:sz w:val="20"/>
              </w:rPr>
              <w:t xml:space="preserve"> </w:t>
            </w:r>
            <w:r w:rsidR="00CA489E" w:rsidRPr="00DC53C3">
              <w:rPr>
                <w:rFonts w:ascii="Arial Narrow" w:hAnsi="Arial Narrow"/>
                <w:sz w:val="20"/>
              </w:rPr>
              <w:t>quarter</w:t>
            </w:r>
            <w:r w:rsidRPr="002D0191">
              <w:rPr>
                <w:rFonts w:ascii="Arial Narrow" w:hAnsi="Arial Narrow"/>
                <w:sz w:val="20"/>
              </w:rPr>
              <w:t xml:space="preserve"> 2011 </w:t>
            </w:r>
          </w:p>
        </w:tc>
      </w:tr>
      <w:tr w:rsidR="00CA489E" w:rsidRPr="00B55DF9" w:rsidTr="00713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3922" w:type="dxa"/>
            <w:tcBorders>
              <w:top w:val="single" w:sz="4" w:space="0" w:color="auto"/>
              <w:left w:val="single" w:sz="4" w:space="0" w:color="auto"/>
              <w:bottom w:val="single" w:sz="4" w:space="0" w:color="auto"/>
              <w:right w:val="single" w:sz="4" w:space="0" w:color="auto"/>
            </w:tcBorders>
            <w:vAlign w:val="center"/>
          </w:tcPr>
          <w:p w:rsidR="00CA489E" w:rsidRPr="00B55DF9" w:rsidRDefault="002D0191" w:rsidP="00B370C6">
            <w:pPr>
              <w:keepNext/>
              <w:spacing w:before="60" w:after="60"/>
              <w:jc w:val="left"/>
              <w:rPr>
                <w:rFonts w:ascii="Arial Narrow" w:hAnsi="Arial Narrow"/>
                <w:sz w:val="20"/>
              </w:rPr>
            </w:pPr>
            <w:r w:rsidRPr="002D0191">
              <w:rPr>
                <w:rFonts w:ascii="Arial Narrow" w:hAnsi="Arial Narrow"/>
                <w:sz w:val="20"/>
              </w:rPr>
              <w:t xml:space="preserve">TSOs to hold a public consultation on the draft regional investment plan </w:t>
            </w:r>
          </w:p>
        </w:tc>
        <w:tc>
          <w:tcPr>
            <w:tcW w:w="1984" w:type="dxa"/>
            <w:tcBorders>
              <w:top w:val="single" w:sz="4" w:space="0" w:color="auto"/>
              <w:left w:val="single" w:sz="4" w:space="0" w:color="auto"/>
              <w:bottom w:val="single" w:sz="4" w:space="0" w:color="auto"/>
              <w:right w:val="single" w:sz="4" w:space="0" w:color="auto"/>
            </w:tcBorders>
            <w:vAlign w:val="center"/>
          </w:tcPr>
          <w:p w:rsidR="00822AF7" w:rsidRDefault="002D0191">
            <w:pPr>
              <w:keepNext/>
              <w:spacing w:before="60" w:after="60"/>
              <w:jc w:val="center"/>
              <w:rPr>
                <w:rFonts w:ascii="Arial Narrow" w:hAnsi="Arial Narrow"/>
                <w:sz w:val="20"/>
              </w:rPr>
            </w:pPr>
            <w:r w:rsidRPr="002D0191">
              <w:rPr>
                <w:rFonts w:ascii="Arial Narrow" w:hAnsi="Arial Narrow"/>
                <w:sz w:val="20"/>
              </w:rPr>
              <w:t xml:space="preserve">TSOs </w:t>
            </w:r>
            <w:r w:rsidR="00CA489E" w:rsidRPr="004A514A">
              <w:rPr>
                <w:rFonts w:ascii="Arial Narrow" w:hAnsi="Arial Narrow"/>
                <w:sz w:val="20"/>
              </w:rPr>
              <w:t>–</w:t>
            </w:r>
            <w:r w:rsidRPr="002D0191">
              <w:rPr>
                <w:rFonts w:ascii="Arial Narrow" w:hAnsi="Arial Narrow"/>
                <w:sz w:val="20"/>
              </w:rPr>
              <w:t xml:space="preserve"> regional TSO group within ENTSO-E</w:t>
            </w:r>
          </w:p>
        </w:tc>
        <w:tc>
          <w:tcPr>
            <w:tcW w:w="2501" w:type="dxa"/>
            <w:tcBorders>
              <w:top w:val="single" w:sz="4" w:space="0" w:color="auto"/>
              <w:left w:val="single" w:sz="4" w:space="0" w:color="auto"/>
              <w:bottom w:val="single" w:sz="4" w:space="0" w:color="auto"/>
              <w:right w:val="single" w:sz="4" w:space="0" w:color="auto"/>
            </w:tcBorders>
            <w:vAlign w:val="center"/>
          </w:tcPr>
          <w:p w:rsidR="00822AF7" w:rsidRDefault="00CA489E">
            <w:pPr>
              <w:keepNext/>
              <w:spacing w:before="60" w:after="60"/>
              <w:jc w:val="center"/>
              <w:rPr>
                <w:rFonts w:ascii="Arial Narrow" w:hAnsi="Arial Narrow"/>
                <w:sz w:val="20"/>
              </w:rPr>
            </w:pPr>
            <w:r>
              <w:rPr>
                <w:rFonts w:ascii="Arial Narrow" w:hAnsi="Arial Narrow"/>
                <w:sz w:val="20"/>
              </w:rPr>
              <w:t xml:space="preserve">1st </w:t>
            </w:r>
            <w:r w:rsidRPr="00DC53C3">
              <w:rPr>
                <w:rFonts w:ascii="Arial Narrow" w:hAnsi="Arial Narrow"/>
                <w:sz w:val="20"/>
              </w:rPr>
              <w:t>quarter</w:t>
            </w:r>
            <w:r w:rsidR="002D0191" w:rsidRPr="002D0191">
              <w:rPr>
                <w:rFonts w:ascii="Arial Narrow" w:hAnsi="Arial Narrow"/>
                <w:sz w:val="20"/>
              </w:rPr>
              <w:t xml:space="preserve"> 201</w:t>
            </w:r>
            <w:r>
              <w:rPr>
                <w:rFonts w:ascii="Arial Narrow" w:hAnsi="Arial Narrow"/>
                <w:sz w:val="20"/>
              </w:rPr>
              <w:t>2</w:t>
            </w:r>
          </w:p>
        </w:tc>
      </w:tr>
      <w:tr w:rsidR="00CA489E" w:rsidTr="00713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3922" w:type="dxa"/>
            <w:tcBorders>
              <w:top w:val="single" w:sz="4" w:space="0" w:color="auto"/>
              <w:left w:val="single" w:sz="4" w:space="0" w:color="auto"/>
              <w:bottom w:val="single" w:sz="4" w:space="0" w:color="auto"/>
              <w:right w:val="single" w:sz="4" w:space="0" w:color="auto"/>
            </w:tcBorders>
            <w:vAlign w:val="center"/>
          </w:tcPr>
          <w:p w:rsidR="00CA489E" w:rsidRPr="00DC53C3" w:rsidRDefault="00CA489E" w:rsidP="00B370C6">
            <w:pPr>
              <w:keepNext/>
              <w:spacing w:before="60" w:after="60"/>
              <w:jc w:val="left"/>
              <w:rPr>
                <w:rFonts w:ascii="Arial Narrow" w:hAnsi="Arial Narrow"/>
                <w:sz w:val="20"/>
              </w:rPr>
            </w:pPr>
            <w:r w:rsidRPr="00DC53C3">
              <w:rPr>
                <w:rFonts w:ascii="Arial Narrow" w:hAnsi="Arial Narrow"/>
                <w:sz w:val="20"/>
              </w:rPr>
              <w:t>Feedback from regulators</w:t>
            </w:r>
          </w:p>
        </w:tc>
        <w:tc>
          <w:tcPr>
            <w:tcW w:w="1984" w:type="dxa"/>
            <w:tcBorders>
              <w:top w:val="single" w:sz="4" w:space="0" w:color="auto"/>
              <w:left w:val="single" w:sz="4" w:space="0" w:color="auto"/>
              <w:bottom w:val="single" w:sz="4" w:space="0" w:color="auto"/>
              <w:right w:val="single" w:sz="4" w:space="0" w:color="auto"/>
            </w:tcBorders>
          </w:tcPr>
          <w:p w:rsidR="00CA489E" w:rsidRPr="00DC53C3" w:rsidRDefault="00CA489E" w:rsidP="00B370C6">
            <w:pPr>
              <w:keepNext/>
              <w:spacing w:before="60" w:after="60"/>
              <w:jc w:val="center"/>
              <w:rPr>
                <w:rFonts w:ascii="Arial Narrow" w:hAnsi="Arial Narrow"/>
                <w:sz w:val="20"/>
              </w:rPr>
            </w:pPr>
            <w:r w:rsidRPr="00DC53C3">
              <w:rPr>
                <w:rFonts w:ascii="Arial Narrow" w:hAnsi="Arial Narrow"/>
                <w:sz w:val="20"/>
              </w:rPr>
              <w:t>RCC</w:t>
            </w:r>
          </w:p>
        </w:tc>
        <w:tc>
          <w:tcPr>
            <w:tcW w:w="2501" w:type="dxa"/>
            <w:tcBorders>
              <w:top w:val="single" w:sz="4" w:space="0" w:color="auto"/>
              <w:left w:val="single" w:sz="4" w:space="0" w:color="auto"/>
              <w:bottom w:val="single" w:sz="4" w:space="0" w:color="auto"/>
              <w:right w:val="single" w:sz="4" w:space="0" w:color="auto"/>
            </w:tcBorders>
          </w:tcPr>
          <w:p w:rsidR="00CA489E" w:rsidRPr="00DC53C3" w:rsidRDefault="00CA489E" w:rsidP="00B370C6">
            <w:pPr>
              <w:keepNext/>
              <w:spacing w:before="40" w:after="40"/>
              <w:jc w:val="center"/>
              <w:rPr>
                <w:rFonts w:ascii="Arial Narrow" w:hAnsi="Arial Narrow"/>
                <w:sz w:val="20"/>
              </w:rPr>
            </w:pPr>
            <w:r w:rsidRPr="00DC53C3">
              <w:rPr>
                <w:rFonts w:ascii="Arial Narrow" w:hAnsi="Arial Narrow"/>
                <w:sz w:val="20"/>
              </w:rPr>
              <w:t>1</w:t>
            </w:r>
            <w:r w:rsidRPr="00DC53C3">
              <w:rPr>
                <w:rFonts w:ascii="Arial Narrow" w:hAnsi="Arial Narrow"/>
                <w:sz w:val="20"/>
                <w:vertAlign w:val="superscript"/>
              </w:rPr>
              <w:t>st</w:t>
            </w:r>
            <w:r w:rsidRPr="00DC53C3">
              <w:rPr>
                <w:rFonts w:ascii="Arial Narrow" w:hAnsi="Arial Narrow"/>
                <w:sz w:val="20"/>
              </w:rPr>
              <w:t xml:space="preserve"> quarter 2012</w:t>
            </w:r>
          </w:p>
        </w:tc>
      </w:tr>
      <w:tr w:rsidR="00CA489E" w:rsidTr="00713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3922" w:type="dxa"/>
            <w:tcBorders>
              <w:top w:val="single" w:sz="4" w:space="0" w:color="auto"/>
              <w:left w:val="single" w:sz="4" w:space="0" w:color="auto"/>
              <w:bottom w:val="single" w:sz="4" w:space="0" w:color="auto"/>
              <w:right w:val="single" w:sz="4" w:space="0" w:color="auto"/>
            </w:tcBorders>
            <w:vAlign w:val="center"/>
          </w:tcPr>
          <w:p w:rsidR="00CA489E" w:rsidRPr="00CA489E" w:rsidDel="00B55DF9" w:rsidRDefault="002D0191" w:rsidP="00B370C6">
            <w:pPr>
              <w:keepNext/>
              <w:spacing w:before="60" w:after="60"/>
              <w:jc w:val="left"/>
              <w:rPr>
                <w:rFonts w:ascii="Arial Narrow" w:hAnsi="Arial Narrow"/>
                <w:sz w:val="20"/>
              </w:rPr>
            </w:pPr>
            <w:r w:rsidRPr="002D0191">
              <w:rPr>
                <w:rFonts w:ascii="Arial Narrow" w:hAnsi="Arial Narrow"/>
                <w:sz w:val="20"/>
              </w:rPr>
              <w:t xml:space="preserve">TSOs to deliver the final regional investment plan </w:t>
            </w:r>
          </w:p>
        </w:tc>
        <w:tc>
          <w:tcPr>
            <w:tcW w:w="1984" w:type="dxa"/>
            <w:tcBorders>
              <w:top w:val="single" w:sz="4" w:space="0" w:color="auto"/>
              <w:left w:val="single" w:sz="4" w:space="0" w:color="auto"/>
              <w:bottom w:val="single" w:sz="4" w:space="0" w:color="auto"/>
              <w:right w:val="single" w:sz="4" w:space="0" w:color="auto"/>
            </w:tcBorders>
          </w:tcPr>
          <w:p w:rsidR="00CA489E" w:rsidRPr="00DC53C3" w:rsidRDefault="002D0191" w:rsidP="00B370C6">
            <w:pPr>
              <w:keepNext/>
              <w:spacing w:before="60" w:after="60"/>
              <w:jc w:val="center"/>
              <w:rPr>
                <w:rFonts w:ascii="Arial Narrow" w:hAnsi="Arial Narrow"/>
                <w:sz w:val="20"/>
              </w:rPr>
            </w:pPr>
            <w:r w:rsidRPr="002D0191">
              <w:rPr>
                <w:rFonts w:ascii="Arial Narrow" w:hAnsi="Arial Narrow"/>
                <w:sz w:val="20"/>
              </w:rPr>
              <w:t xml:space="preserve">TSOs </w:t>
            </w:r>
            <w:r w:rsidR="00CA489E" w:rsidRPr="004A514A">
              <w:rPr>
                <w:rFonts w:ascii="Arial Narrow" w:hAnsi="Arial Narrow"/>
                <w:sz w:val="20"/>
              </w:rPr>
              <w:t>–</w:t>
            </w:r>
            <w:r w:rsidRPr="002D0191">
              <w:rPr>
                <w:rFonts w:ascii="Arial Narrow" w:hAnsi="Arial Narrow"/>
                <w:sz w:val="20"/>
              </w:rPr>
              <w:t xml:space="preserve"> regional TSO group within ENTSO-E</w:t>
            </w:r>
          </w:p>
        </w:tc>
        <w:tc>
          <w:tcPr>
            <w:tcW w:w="2501" w:type="dxa"/>
            <w:tcBorders>
              <w:top w:val="single" w:sz="4" w:space="0" w:color="auto"/>
              <w:left w:val="single" w:sz="4" w:space="0" w:color="auto"/>
              <w:bottom w:val="single" w:sz="4" w:space="0" w:color="auto"/>
              <w:right w:val="single" w:sz="4" w:space="0" w:color="auto"/>
            </w:tcBorders>
          </w:tcPr>
          <w:p w:rsidR="00CA489E" w:rsidRPr="00DC53C3" w:rsidRDefault="002D0191" w:rsidP="00B370C6">
            <w:pPr>
              <w:keepNext/>
              <w:spacing w:before="40" w:after="40"/>
              <w:jc w:val="center"/>
              <w:rPr>
                <w:rFonts w:ascii="Arial Narrow" w:hAnsi="Arial Narrow"/>
                <w:sz w:val="20"/>
              </w:rPr>
            </w:pPr>
            <w:r w:rsidRPr="002D0191">
              <w:rPr>
                <w:rFonts w:ascii="Arial Narrow" w:hAnsi="Arial Narrow"/>
                <w:sz w:val="20"/>
              </w:rPr>
              <w:t>2nd</w:t>
            </w:r>
            <w:r w:rsidR="00CA489E">
              <w:rPr>
                <w:rFonts w:ascii="Arial Narrow" w:hAnsi="Arial Narrow"/>
                <w:sz w:val="20"/>
              </w:rPr>
              <w:t xml:space="preserve"> </w:t>
            </w:r>
            <w:r w:rsidR="00CA489E" w:rsidRPr="00DC53C3">
              <w:rPr>
                <w:rFonts w:ascii="Arial Narrow" w:hAnsi="Arial Narrow"/>
                <w:sz w:val="20"/>
              </w:rPr>
              <w:t>quarter</w:t>
            </w:r>
            <w:r w:rsidRPr="002D0191">
              <w:rPr>
                <w:rFonts w:ascii="Arial Narrow" w:hAnsi="Arial Narrow"/>
                <w:sz w:val="20"/>
              </w:rPr>
              <w:t xml:space="preserve"> 2012</w:t>
            </w:r>
          </w:p>
        </w:tc>
      </w:tr>
      <w:tr w:rsidR="00CA489E" w:rsidTr="00713B9A">
        <w:trPr>
          <w:jc w:val="center"/>
        </w:trPr>
        <w:tc>
          <w:tcPr>
            <w:tcW w:w="8407" w:type="dxa"/>
            <w:gridSpan w:val="3"/>
            <w:tcBorders>
              <w:top w:val="single" w:sz="4" w:space="0" w:color="auto"/>
            </w:tcBorders>
            <w:shd w:val="clear" w:color="auto" w:fill="548DD4"/>
          </w:tcPr>
          <w:p w:rsidR="00CA489E" w:rsidRDefault="00CA489E" w:rsidP="00EC2A16">
            <w:pPr>
              <w:keepNext/>
              <w:spacing w:before="40" w:after="40"/>
              <w:jc w:val="center"/>
              <w:rPr>
                <w:rFonts w:ascii="Arial Narrow" w:hAnsi="Arial Narrow"/>
                <w:b/>
                <w:color w:val="FFFFFF"/>
                <w:sz w:val="20"/>
              </w:rPr>
            </w:pPr>
            <w:r>
              <w:rPr>
                <w:rFonts w:ascii="Arial Narrow" w:hAnsi="Arial Narrow"/>
                <w:b/>
                <w:color w:val="FFFFFF"/>
                <w:sz w:val="20"/>
              </w:rPr>
              <w:t>Second regional investment plan (2014)</w:t>
            </w:r>
          </w:p>
        </w:tc>
      </w:tr>
      <w:tr w:rsidR="00CA489E" w:rsidTr="00713B9A">
        <w:trPr>
          <w:cantSplit/>
          <w:trHeight w:val="285"/>
          <w:jc w:val="center"/>
        </w:trPr>
        <w:tc>
          <w:tcPr>
            <w:tcW w:w="3922" w:type="dxa"/>
            <w:shd w:val="clear" w:color="auto" w:fill="FFFFFF"/>
          </w:tcPr>
          <w:p w:rsidR="00CA489E" w:rsidRPr="00DC53C3" w:rsidRDefault="00CA489E" w:rsidP="00D731AB">
            <w:pPr>
              <w:keepNext/>
              <w:spacing w:before="60" w:after="60"/>
              <w:jc w:val="left"/>
              <w:rPr>
                <w:rFonts w:ascii="Arial Narrow" w:hAnsi="Arial Narrow"/>
                <w:sz w:val="20"/>
              </w:rPr>
            </w:pPr>
            <w:r>
              <w:rPr>
                <w:rFonts w:ascii="Arial Narrow" w:hAnsi="Arial Narrow"/>
                <w:sz w:val="20"/>
              </w:rPr>
              <w:t>Key update on investment needs for the region</w:t>
            </w:r>
          </w:p>
        </w:tc>
        <w:tc>
          <w:tcPr>
            <w:tcW w:w="1984" w:type="dxa"/>
            <w:shd w:val="clear" w:color="auto" w:fill="FFFFFF"/>
            <w:vAlign w:val="center"/>
          </w:tcPr>
          <w:p w:rsidR="00CA489E" w:rsidRPr="00DC53C3" w:rsidRDefault="00CA489E" w:rsidP="00E3566E">
            <w:pPr>
              <w:keepNext/>
              <w:spacing w:before="60" w:after="60"/>
              <w:jc w:val="center"/>
              <w:rPr>
                <w:rFonts w:ascii="Arial Narrow" w:hAnsi="Arial Narrow"/>
                <w:sz w:val="20"/>
              </w:rPr>
            </w:pPr>
            <w:r w:rsidRPr="00DC53C3">
              <w:rPr>
                <w:rFonts w:ascii="Arial Narrow" w:hAnsi="Arial Narrow"/>
                <w:sz w:val="20"/>
              </w:rPr>
              <w:t>TSOs</w:t>
            </w:r>
          </w:p>
        </w:tc>
        <w:tc>
          <w:tcPr>
            <w:tcW w:w="2501" w:type="dxa"/>
            <w:shd w:val="clear" w:color="auto" w:fill="FFFFFF"/>
            <w:vAlign w:val="center"/>
          </w:tcPr>
          <w:p w:rsidR="00CA489E" w:rsidRPr="00DC53C3" w:rsidRDefault="00CA489E" w:rsidP="00E3566E">
            <w:pPr>
              <w:keepNext/>
              <w:spacing w:before="40" w:after="40"/>
              <w:jc w:val="center"/>
              <w:rPr>
                <w:rFonts w:ascii="Arial Narrow" w:hAnsi="Arial Narrow"/>
                <w:sz w:val="20"/>
              </w:rPr>
            </w:pPr>
            <w:r w:rsidRPr="00DC53C3">
              <w:rPr>
                <w:rFonts w:ascii="Arial Narrow" w:hAnsi="Arial Narrow"/>
                <w:sz w:val="20"/>
              </w:rPr>
              <w:t>4</w:t>
            </w:r>
            <w:r w:rsidRPr="00DC53C3">
              <w:rPr>
                <w:rFonts w:ascii="Arial Narrow" w:hAnsi="Arial Narrow"/>
                <w:sz w:val="20"/>
                <w:vertAlign w:val="superscript"/>
              </w:rPr>
              <w:t>th</w:t>
            </w:r>
            <w:r>
              <w:rPr>
                <w:rFonts w:ascii="Arial Narrow" w:hAnsi="Arial Narrow"/>
                <w:sz w:val="20"/>
              </w:rPr>
              <w:t xml:space="preserve"> quarter 2012</w:t>
            </w:r>
          </w:p>
        </w:tc>
      </w:tr>
      <w:tr w:rsidR="00CA489E" w:rsidTr="00713B9A">
        <w:trPr>
          <w:cantSplit/>
          <w:trHeight w:val="285"/>
          <w:jc w:val="center"/>
        </w:trPr>
        <w:tc>
          <w:tcPr>
            <w:tcW w:w="3922" w:type="dxa"/>
            <w:tcBorders>
              <w:bottom w:val="single" w:sz="4" w:space="0" w:color="auto"/>
            </w:tcBorders>
            <w:shd w:val="clear" w:color="auto" w:fill="FFFFFF"/>
          </w:tcPr>
          <w:p w:rsidR="00CA489E" w:rsidRPr="00DC53C3" w:rsidRDefault="00CA489E" w:rsidP="00D731AB">
            <w:pPr>
              <w:keepNext/>
              <w:spacing w:before="60" w:after="60"/>
              <w:jc w:val="left"/>
              <w:rPr>
                <w:rFonts w:ascii="Arial Narrow" w:hAnsi="Arial Narrow"/>
                <w:sz w:val="20"/>
              </w:rPr>
            </w:pPr>
            <w:r>
              <w:rPr>
                <w:rFonts w:ascii="Arial Narrow" w:hAnsi="Arial Narrow"/>
                <w:sz w:val="20"/>
              </w:rPr>
              <w:t>Update on process and content of the regional investment plan</w:t>
            </w:r>
          </w:p>
        </w:tc>
        <w:tc>
          <w:tcPr>
            <w:tcW w:w="1984" w:type="dxa"/>
            <w:tcBorders>
              <w:bottom w:val="single" w:sz="4" w:space="0" w:color="auto"/>
            </w:tcBorders>
            <w:shd w:val="clear" w:color="auto" w:fill="FFFFFF"/>
            <w:vAlign w:val="center"/>
          </w:tcPr>
          <w:p w:rsidR="00CA489E" w:rsidRPr="00DC53C3" w:rsidRDefault="00CA489E" w:rsidP="00E3566E">
            <w:pPr>
              <w:keepNext/>
              <w:spacing w:before="60" w:after="60"/>
              <w:jc w:val="center"/>
              <w:rPr>
                <w:rFonts w:ascii="Arial Narrow" w:hAnsi="Arial Narrow"/>
                <w:sz w:val="20"/>
              </w:rPr>
            </w:pPr>
            <w:r w:rsidRPr="00DC53C3">
              <w:rPr>
                <w:rFonts w:ascii="Arial Narrow" w:hAnsi="Arial Narrow"/>
                <w:sz w:val="20"/>
              </w:rPr>
              <w:t>TSOs</w:t>
            </w:r>
          </w:p>
        </w:tc>
        <w:tc>
          <w:tcPr>
            <w:tcW w:w="2501" w:type="dxa"/>
            <w:tcBorders>
              <w:bottom w:val="single" w:sz="4" w:space="0" w:color="auto"/>
            </w:tcBorders>
            <w:shd w:val="clear" w:color="auto" w:fill="FFFFFF"/>
            <w:vAlign w:val="center"/>
          </w:tcPr>
          <w:p w:rsidR="00CA489E" w:rsidRPr="00DC53C3" w:rsidRDefault="00CA489E" w:rsidP="00B370C6">
            <w:pPr>
              <w:keepNext/>
              <w:spacing w:before="40" w:after="40"/>
              <w:jc w:val="center"/>
              <w:rPr>
                <w:rFonts w:ascii="Arial Narrow" w:hAnsi="Arial Narrow"/>
                <w:sz w:val="20"/>
              </w:rPr>
            </w:pPr>
            <w:r>
              <w:rPr>
                <w:rFonts w:ascii="Arial Narrow" w:hAnsi="Arial Narrow"/>
                <w:sz w:val="20"/>
              </w:rPr>
              <w:t>1</w:t>
            </w:r>
            <w:r w:rsidR="002D0191" w:rsidRPr="002D0191">
              <w:rPr>
                <w:rFonts w:ascii="Arial Narrow" w:hAnsi="Arial Narrow"/>
                <w:sz w:val="20"/>
                <w:vertAlign w:val="superscript"/>
              </w:rPr>
              <w:t>st</w:t>
            </w:r>
            <w:r>
              <w:rPr>
                <w:rFonts w:ascii="Arial Narrow" w:hAnsi="Arial Narrow"/>
                <w:sz w:val="20"/>
              </w:rPr>
              <w:t xml:space="preserve"> </w:t>
            </w:r>
            <w:r w:rsidRPr="00DC53C3">
              <w:rPr>
                <w:rFonts w:ascii="Arial Narrow" w:hAnsi="Arial Narrow"/>
                <w:sz w:val="20"/>
              </w:rPr>
              <w:t>quarter 201</w:t>
            </w:r>
            <w:r>
              <w:rPr>
                <w:rFonts w:ascii="Arial Narrow" w:hAnsi="Arial Narrow"/>
                <w:sz w:val="20"/>
              </w:rPr>
              <w:t>3</w:t>
            </w:r>
          </w:p>
        </w:tc>
      </w:tr>
      <w:tr w:rsidR="00CA489E" w:rsidTr="00713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3922" w:type="dxa"/>
            <w:tcBorders>
              <w:top w:val="single" w:sz="4" w:space="0" w:color="auto"/>
              <w:left w:val="single" w:sz="4" w:space="0" w:color="auto"/>
              <w:bottom w:val="single" w:sz="4" w:space="0" w:color="auto"/>
              <w:right w:val="single" w:sz="4" w:space="0" w:color="auto"/>
            </w:tcBorders>
            <w:vAlign w:val="center"/>
          </w:tcPr>
          <w:p w:rsidR="00CA489E" w:rsidRPr="00DC53C3" w:rsidRDefault="00CA489E" w:rsidP="007D7E1C">
            <w:pPr>
              <w:keepNext/>
              <w:spacing w:before="60" w:after="60"/>
              <w:jc w:val="left"/>
              <w:rPr>
                <w:rFonts w:ascii="Arial Narrow" w:hAnsi="Arial Narrow"/>
                <w:sz w:val="20"/>
              </w:rPr>
            </w:pPr>
            <w:r w:rsidRPr="00B55DF9">
              <w:rPr>
                <w:rFonts w:ascii="Arial Narrow" w:hAnsi="Arial Narrow"/>
                <w:sz w:val="20"/>
              </w:rPr>
              <w:t xml:space="preserve">TSOs to hold a public consultation on the draft regional investment plan </w:t>
            </w:r>
          </w:p>
        </w:tc>
        <w:tc>
          <w:tcPr>
            <w:tcW w:w="1984" w:type="dxa"/>
            <w:tcBorders>
              <w:top w:val="single" w:sz="4" w:space="0" w:color="auto"/>
              <w:left w:val="single" w:sz="4" w:space="0" w:color="auto"/>
              <w:bottom w:val="single" w:sz="4" w:space="0" w:color="auto"/>
              <w:right w:val="single" w:sz="4" w:space="0" w:color="auto"/>
            </w:tcBorders>
          </w:tcPr>
          <w:p w:rsidR="00CA489E" w:rsidRPr="00DC53C3" w:rsidRDefault="00CA489E" w:rsidP="007D7E1C">
            <w:pPr>
              <w:keepNext/>
              <w:spacing w:before="60" w:after="60"/>
              <w:jc w:val="center"/>
              <w:rPr>
                <w:rFonts w:ascii="Arial Narrow" w:hAnsi="Arial Narrow"/>
                <w:sz w:val="20"/>
              </w:rPr>
            </w:pPr>
            <w:r w:rsidRPr="00B55DF9">
              <w:rPr>
                <w:rFonts w:ascii="Arial Narrow" w:hAnsi="Arial Narrow"/>
                <w:sz w:val="20"/>
              </w:rPr>
              <w:t>TSOs – regional TSO group within ENTSO-E</w:t>
            </w:r>
          </w:p>
        </w:tc>
        <w:tc>
          <w:tcPr>
            <w:tcW w:w="2501" w:type="dxa"/>
            <w:tcBorders>
              <w:top w:val="single" w:sz="4" w:space="0" w:color="auto"/>
              <w:left w:val="single" w:sz="4" w:space="0" w:color="auto"/>
              <w:bottom w:val="single" w:sz="4" w:space="0" w:color="auto"/>
              <w:right w:val="single" w:sz="4" w:space="0" w:color="auto"/>
            </w:tcBorders>
          </w:tcPr>
          <w:p w:rsidR="00CA489E" w:rsidRPr="00DC53C3" w:rsidRDefault="00CA489E" w:rsidP="00B370C6">
            <w:pPr>
              <w:keepNext/>
              <w:spacing w:before="40" w:after="40"/>
              <w:jc w:val="center"/>
              <w:rPr>
                <w:rFonts w:ascii="Arial Narrow" w:hAnsi="Arial Narrow"/>
                <w:sz w:val="20"/>
              </w:rPr>
            </w:pPr>
            <w:r>
              <w:rPr>
                <w:rFonts w:ascii="Arial Narrow" w:hAnsi="Arial Narrow"/>
                <w:sz w:val="20"/>
              </w:rPr>
              <w:t>1</w:t>
            </w:r>
            <w:r w:rsidR="002D0191" w:rsidRPr="002D0191">
              <w:rPr>
                <w:rFonts w:ascii="Arial Narrow" w:hAnsi="Arial Narrow"/>
                <w:sz w:val="20"/>
                <w:vertAlign w:val="superscript"/>
              </w:rPr>
              <w:t>st</w:t>
            </w:r>
            <w:r>
              <w:rPr>
                <w:rFonts w:ascii="Arial Narrow" w:hAnsi="Arial Narrow"/>
                <w:sz w:val="20"/>
              </w:rPr>
              <w:t xml:space="preserve"> </w:t>
            </w:r>
            <w:r w:rsidRPr="00DC53C3">
              <w:rPr>
                <w:rFonts w:ascii="Arial Narrow" w:hAnsi="Arial Narrow"/>
                <w:sz w:val="20"/>
              </w:rPr>
              <w:t>quarter</w:t>
            </w:r>
            <w:r w:rsidRPr="00B55DF9">
              <w:rPr>
                <w:rFonts w:ascii="Arial Narrow" w:hAnsi="Arial Narrow"/>
                <w:sz w:val="20"/>
              </w:rPr>
              <w:t xml:space="preserve"> 201</w:t>
            </w:r>
            <w:r>
              <w:rPr>
                <w:rFonts w:ascii="Arial Narrow" w:hAnsi="Arial Narrow"/>
                <w:sz w:val="20"/>
              </w:rPr>
              <w:t>4</w:t>
            </w:r>
          </w:p>
        </w:tc>
      </w:tr>
      <w:tr w:rsidR="00CA489E" w:rsidTr="00713B9A">
        <w:trPr>
          <w:cantSplit/>
          <w:trHeight w:val="285"/>
          <w:jc w:val="center"/>
        </w:trPr>
        <w:tc>
          <w:tcPr>
            <w:tcW w:w="3922" w:type="dxa"/>
            <w:tcBorders>
              <w:top w:val="single" w:sz="4" w:space="0" w:color="auto"/>
            </w:tcBorders>
            <w:shd w:val="clear" w:color="auto" w:fill="FFFFFF"/>
          </w:tcPr>
          <w:p w:rsidR="00CA489E" w:rsidRPr="00DC53C3" w:rsidRDefault="00CA489E" w:rsidP="007D7E1C">
            <w:pPr>
              <w:keepNext/>
              <w:spacing w:before="60" w:after="60"/>
              <w:jc w:val="left"/>
              <w:rPr>
                <w:rFonts w:ascii="Arial Narrow" w:hAnsi="Arial Narrow"/>
                <w:sz w:val="20"/>
              </w:rPr>
            </w:pPr>
            <w:r w:rsidRPr="00DC53C3">
              <w:rPr>
                <w:rFonts w:ascii="Arial Narrow" w:hAnsi="Arial Narrow"/>
                <w:sz w:val="20"/>
              </w:rPr>
              <w:t>Feedback from regulators</w:t>
            </w:r>
          </w:p>
        </w:tc>
        <w:tc>
          <w:tcPr>
            <w:tcW w:w="1984" w:type="dxa"/>
            <w:tcBorders>
              <w:top w:val="single" w:sz="4" w:space="0" w:color="auto"/>
            </w:tcBorders>
            <w:shd w:val="clear" w:color="auto" w:fill="FFFFFF"/>
            <w:vAlign w:val="center"/>
          </w:tcPr>
          <w:p w:rsidR="00CA489E" w:rsidRPr="00DC53C3" w:rsidRDefault="00CA489E" w:rsidP="007D7E1C">
            <w:pPr>
              <w:keepNext/>
              <w:spacing w:before="60" w:after="60"/>
              <w:jc w:val="center"/>
              <w:rPr>
                <w:rFonts w:ascii="Arial Narrow" w:hAnsi="Arial Narrow"/>
                <w:sz w:val="20"/>
              </w:rPr>
            </w:pPr>
            <w:r w:rsidRPr="00DC53C3">
              <w:rPr>
                <w:rFonts w:ascii="Arial Narrow" w:hAnsi="Arial Narrow"/>
                <w:sz w:val="20"/>
              </w:rPr>
              <w:t>RCC</w:t>
            </w:r>
          </w:p>
        </w:tc>
        <w:tc>
          <w:tcPr>
            <w:tcW w:w="2501" w:type="dxa"/>
            <w:tcBorders>
              <w:top w:val="single" w:sz="4" w:space="0" w:color="auto"/>
            </w:tcBorders>
            <w:shd w:val="clear" w:color="auto" w:fill="FFFFFF"/>
            <w:vAlign w:val="center"/>
          </w:tcPr>
          <w:p w:rsidR="00CA489E" w:rsidRPr="00DC53C3" w:rsidRDefault="00CA489E" w:rsidP="00B370C6">
            <w:pPr>
              <w:keepNext/>
              <w:spacing w:before="40" w:after="40"/>
              <w:jc w:val="center"/>
              <w:rPr>
                <w:rFonts w:ascii="Arial Narrow" w:hAnsi="Arial Narrow"/>
                <w:sz w:val="20"/>
              </w:rPr>
            </w:pPr>
            <w:r w:rsidRPr="00DC53C3">
              <w:rPr>
                <w:rFonts w:ascii="Arial Narrow" w:hAnsi="Arial Narrow"/>
                <w:sz w:val="20"/>
              </w:rPr>
              <w:t>1</w:t>
            </w:r>
            <w:r w:rsidR="002D0191" w:rsidRPr="002D0191">
              <w:rPr>
                <w:rFonts w:ascii="Arial Narrow" w:hAnsi="Arial Narrow"/>
                <w:sz w:val="20"/>
                <w:vertAlign w:val="superscript"/>
              </w:rPr>
              <w:t>st</w:t>
            </w:r>
            <w:r>
              <w:rPr>
                <w:rFonts w:ascii="Arial Narrow" w:hAnsi="Arial Narrow"/>
                <w:sz w:val="20"/>
              </w:rPr>
              <w:t xml:space="preserve"> quarter 2014</w:t>
            </w:r>
          </w:p>
        </w:tc>
      </w:tr>
      <w:tr w:rsidR="00CA489E" w:rsidTr="00713B9A">
        <w:trPr>
          <w:cantSplit/>
          <w:trHeight w:val="285"/>
          <w:jc w:val="center"/>
        </w:trPr>
        <w:tc>
          <w:tcPr>
            <w:tcW w:w="3922" w:type="dxa"/>
            <w:shd w:val="clear" w:color="auto" w:fill="FFFFFF"/>
          </w:tcPr>
          <w:p w:rsidR="00CA489E" w:rsidRPr="00DC53C3" w:rsidRDefault="00CA489E" w:rsidP="00D731AB">
            <w:pPr>
              <w:keepNext/>
              <w:spacing w:before="60" w:after="60"/>
              <w:jc w:val="left"/>
              <w:rPr>
                <w:rFonts w:ascii="Arial Narrow" w:hAnsi="Arial Narrow"/>
                <w:sz w:val="20"/>
              </w:rPr>
            </w:pPr>
            <w:r>
              <w:rPr>
                <w:rFonts w:ascii="Arial Narrow" w:hAnsi="Arial Narrow"/>
                <w:sz w:val="20"/>
              </w:rPr>
              <w:t>TSOs to deliver the final regional investment plan</w:t>
            </w:r>
          </w:p>
        </w:tc>
        <w:tc>
          <w:tcPr>
            <w:tcW w:w="1984" w:type="dxa"/>
            <w:shd w:val="clear" w:color="auto" w:fill="FFFFFF"/>
            <w:vAlign w:val="center"/>
          </w:tcPr>
          <w:p w:rsidR="00CA489E" w:rsidRPr="00DC53C3" w:rsidRDefault="00CA489E" w:rsidP="00E3566E">
            <w:pPr>
              <w:keepNext/>
              <w:spacing w:before="60" w:after="60"/>
              <w:jc w:val="center"/>
              <w:rPr>
                <w:rFonts w:ascii="Arial Narrow" w:hAnsi="Arial Narrow"/>
                <w:sz w:val="20"/>
              </w:rPr>
            </w:pPr>
            <w:r w:rsidRPr="00DC53C3">
              <w:rPr>
                <w:rFonts w:ascii="Arial Narrow" w:hAnsi="Arial Narrow"/>
                <w:sz w:val="20"/>
              </w:rPr>
              <w:t>TSOs – regional TSO group within ENTSOE</w:t>
            </w:r>
          </w:p>
        </w:tc>
        <w:tc>
          <w:tcPr>
            <w:tcW w:w="2501" w:type="dxa"/>
            <w:shd w:val="clear" w:color="auto" w:fill="FFFFFF"/>
            <w:vAlign w:val="center"/>
          </w:tcPr>
          <w:p w:rsidR="00CA489E" w:rsidRPr="00DC53C3" w:rsidRDefault="00CA489E" w:rsidP="00B370C6">
            <w:pPr>
              <w:keepNext/>
              <w:spacing w:before="40" w:after="40"/>
              <w:jc w:val="center"/>
              <w:rPr>
                <w:rFonts w:ascii="Arial Narrow" w:hAnsi="Arial Narrow"/>
                <w:sz w:val="20"/>
              </w:rPr>
            </w:pPr>
            <w:r>
              <w:rPr>
                <w:rFonts w:ascii="Arial Narrow" w:hAnsi="Arial Narrow"/>
                <w:sz w:val="20"/>
              </w:rPr>
              <w:t>2</w:t>
            </w:r>
            <w:r w:rsidR="002D0191" w:rsidRPr="002D0191">
              <w:rPr>
                <w:rFonts w:ascii="Arial Narrow" w:hAnsi="Arial Narrow"/>
                <w:sz w:val="20"/>
                <w:vertAlign w:val="superscript"/>
              </w:rPr>
              <w:t>nd</w:t>
            </w:r>
            <w:r>
              <w:rPr>
                <w:rFonts w:ascii="Arial Narrow" w:hAnsi="Arial Narrow"/>
                <w:sz w:val="20"/>
              </w:rPr>
              <w:t xml:space="preserve"> quarter 2014</w:t>
            </w:r>
          </w:p>
        </w:tc>
      </w:tr>
    </w:tbl>
    <w:p w:rsidR="00CA489E" w:rsidRDefault="00CA489E">
      <w:pPr>
        <w:keepLines w:val="0"/>
        <w:autoSpaceDE w:val="0"/>
        <w:autoSpaceDN w:val="0"/>
        <w:adjustRightInd w:val="0"/>
      </w:pPr>
    </w:p>
    <w:p w:rsidR="00CA489E" w:rsidRDefault="00CA489E">
      <w:pPr>
        <w:keepLines w:val="0"/>
        <w:autoSpaceDE w:val="0"/>
        <w:autoSpaceDN w:val="0"/>
        <w:adjustRightInd w:val="0"/>
      </w:pPr>
    </w:p>
    <w:p w:rsidR="00CA489E" w:rsidRDefault="00CA489E">
      <w:pPr>
        <w:pStyle w:val="Ttulo3"/>
      </w:pPr>
      <w:bookmarkStart w:id="25" w:name="_Toc293416715"/>
      <w:r>
        <w:t>Deliverable II.2: Analysis of concrete interconnection projects</w:t>
      </w:r>
      <w:bookmarkEnd w:id="25"/>
    </w:p>
    <w:p w:rsidR="00CA489E" w:rsidRDefault="00CA489E">
      <w:pPr>
        <w:keepLines w:val="0"/>
        <w:autoSpaceDE w:val="0"/>
        <w:autoSpaceDN w:val="0"/>
        <w:adjustRightInd w:val="0"/>
      </w:pPr>
    </w:p>
    <w:p w:rsidR="00CA489E" w:rsidRDefault="00CA489E">
      <w:pPr>
        <w:keepLines w:val="0"/>
        <w:autoSpaceDE w:val="0"/>
        <w:autoSpaceDN w:val="0"/>
        <w:adjustRightInd w:val="0"/>
      </w:pPr>
      <w:r>
        <w:t>The TSOs of the region made a presentation on this topic in December 2010. The region will follow-up on the ongoing regional interconnection projects.</w:t>
      </w:r>
    </w:p>
    <w:p w:rsidR="00CA489E" w:rsidRDefault="00CA489E">
      <w:pPr>
        <w:keepLines w:val="0"/>
        <w:autoSpaceDE w:val="0"/>
        <w:autoSpaceDN w:val="0"/>
        <w:adjustRightInd w:val="0"/>
      </w:pPr>
    </w:p>
    <w:p w:rsidR="00CA489E" w:rsidRDefault="00CA489E" w:rsidP="00DF7F8D">
      <w:pPr>
        <w:pStyle w:val="Prrafodelista"/>
        <w:keepLines w:val="0"/>
        <w:numPr>
          <w:ilvl w:val="0"/>
          <w:numId w:val="26"/>
        </w:numPr>
        <w:autoSpaceDE w:val="0"/>
        <w:autoSpaceDN w:val="0"/>
        <w:adjustRightInd w:val="0"/>
      </w:pPr>
      <w:r>
        <w:t>French-Spanish interconnection (IFE)</w:t>
      </w:r>
    </w:p>
    <w:p w:rsidR="00CA489E" w:rsidRDefault="00CA489E" w:rsidP="00DF7F8D">
      <w:pPr>
        <w:keepLines w:val="0"/>
        <w:autoSpaceDE w:val="0"/>
        <w:autoSpaceDN w:val="0"/>
        <w:adjustRightInd w:val="0"/>
      </w:pPr>
    </w:p>
    <w:p w:rsidR="00CA489E" w:rsidRDefault="00CA489E" w:rsidP="00DF7F8D">
      <w:pPr>
        <w:keepLines w:val="0"/>
        <w:autoSpaceDE w:val="0"/>
        <w:autoSpaceDN w:val="0"/>
        <w:adjustRightInd w:val="0"/>
      </w:pPr>
      <w:r>
        <w:t>The Regional Co-ordination Committee supports the Governmental agreement signed in the France-Spain summit held in Zaragoza, 27 June 2008, to build a new interconnection line between France and Spain. Although it was a milestone, it meant the beginning of the implementation stage. A Joint Venture equally owned by RTE and REE will carry out the technical and environmental studies, take care of the financing of costs related to the study, the administration procedures and the construction of the line. This new company, named INELFE, is working on the design of the project.</w:t>
      </w:r>
    </w:p>
    <w:p w:rsidR="00CA489E" w:rsidRDefault="00CA489E" w:rsidP="00DF7F8D">
      <w:pPr>
        <w:keepLines w:val="0"/>
        <w:autoSpaceDE w:val="0"/>
        <w:autoSpaceDN w:val="0"/>
        <w:adjustRightInd w:val="0"/>
        <w:jc w:val="left"/>
      </w:pPr>
      <w:r>
        <w:t xml:space="preserve"> </w:t>
      </w:r>
    </w:p>
    <w:p w:rsidR="00CA489E" w:rsidRDefault="00CA489E" w:rsidP="00DF7F8D">
      <w:pPr>
        <w:keepLines w:val="0"/>
        <w:autoSpaceDE w:val="0"/>
        <w:autoSpaceDN w:val="0"/>
        <w:adjustRightInd w:val="0"/>
      </w:pPr>
      <w:r>
        <w:t xml:space="preserve">In order to be able to assess in an objective and transparent manner from a regional perspective the status of the on-going project, INELFE and/or the TSOs in the South West region will be invited to jointly present the design of the project, a recall of the identified </w:t>
      </w:r>
      <w:r>
        <w:lastRenderedPageBreak/>
        <w:t>structural congestions and finally, the proposed investment plan within the regional transport network to cope with the project as well as the progress in building the line.</w:t>
      </w:r>
    </w:p>
    <w:p w:rsidR="00CA489E" w:rsidRDefault="00CA489E" w:rsidP="00DF7F8D">
      <w:pPr>
        <w:keepLines w:val="0"/>
        <w:autoSpaceDE w:val="0"/>
        <w:autoSpaceDN w:val="0"/>
        <w:adjustRightInd w:val="0"/>
      </w:pPr>
    </w:p>
    <w:p w:rsidR="00CA489E" w:rsidRDefault="00CA489E">
      <w:pPr>
        <w:keepLines w:val="0"/>
        <w:jc w:val="left"/>
      </w:pPr>
    </w:p>
    <w:p w:rsidR="00CA489E" w:rsidRDefault="00CA489E" w:rsidP="00DF7F8D">
      <w:pPr>
        <w:pStyle w:val="Prrafodelista"/>
        <w:keepLines w:val="0"/>
        <w:numPr>
          <w:ilvl w:val="0"/>
          <w:numId w:val="26"/>
        </w:numPr>
        <w:autoSpaceDE w:val="0"/>
        <w:autoSpaceDN w:val="0"/>
        <w:adjustRightInd w:val="0"/>
      </w:pPr>
      <w:r>
        <w:t>Portuguese-Spanish interconnection (IPE)</w:t>
      </w:r>
    </w:p>
    <w:p w:rsidR="00CA489E" w:rsidRDefault="00CA489E" w:rsidP="00DF7F8D">
      <w:pPr>
        <w:keepLines w:val="0"/>
        <w:autoSpaceDE w:val="0"/>
        <w:autoSpaceDN w:val="0"/>
        <w:adjustRightInd w:val="0"/>
      </w:pPr>
    </w:p>
    <w:p w:rsidR="00CA489E" w:rsidRDefault="00CA489E" w:rsidP="00DF7F8D">
      <w:pPr>
        <w:keepLines w:val="0"/>
        <w:autoSpaceDE w:val="0"/>
        <w:autoSpaceDN w:val="0"/>
        <w:adjustRightInd w:val="0"/>
      </w:pPr>
      <w:r>
        <w:t>The region will analyse how the projects in the Portuguese-Spanish interconnection are being developed, what will be the specific features of the new infrastructures, the deadlines for construction and deadlines for becoming operational.</w:t>
      </w:r>
    </w:p>
    <w:p w:rsidR="00CA489E" w:rsidRDefault="00CA489E" w:rsidP="00DF7F8D">
      <w:pPr>
        <w:keepLines w:val="0"/>
        <w:autoSpaceDE w:val="0"/>
        <w:autoSpaceDN w:val="0"/>
        <w:adjustRightInd w:val="0"/>
      </w:pPr>
      <w:r>
        <w:t>In this interconnection, the aim is to reach 3000 MW in 2014.</w:t>
      </w:r>
    </w:p>
    <w:p w:rsidR="00CA489E" w:rsidRDefault="00CA489E">
      <w:pPr>
        <w:keepLines w:val="0"/>
        <w:autoSpaceDE w:val="0"/>
        <w:autoSpaceDN w:val="0"/>
        <w:adjustRightInd w:val="0"/>
      </w:pPr>
    </w:p>
    <w:p w:rsidR="00CA489E" w:rsidRDefault="00CA489E">
      <w:pPr>
        <w:keepLines w:val="0"/>
        <w:autoSpaceDE w:val="0"/>
        <w:autoSpaceDN w:val="0"/>
        <w:adjustRightInd w:val="0"/>
      </w:pPr>
      <w:r>
        <w:t>Timetable:</w:t>
      </w:r>
    </w:p>
    <w:p w:rsidR="00CA489E" w:rsidRDefault="00CA489E">
      <w:pPr>
        <w:keepLines w:val="0"/>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2"/>
        <w:gridCol w:w="1984"/>
        <w:gridCol w:w="2501"/>
      </w:tblGrid>
      <w:tr w:rsidR="00CA489E">
        <w:trPr>
          <w:jc w:val="center"/>
        </w:trPr>
        <w:tc>
          <w:tcPr>
            <w:tcW w:w="8407" w:type="dxa"/>
            <w:gridSpan w:val="3"/>
            <w:shd w:val="clear" w:color="auto" w:fill="336798"/>
          </w:tcPr>
          <w:p w:rsidR="00CA489E" w:rsidRDefault="00CA489E" w:rsidP="007011AB">
            <w:pPr>
              <w:pStyle w:val="table01"/>
            </w:pPr>
            <w:bookmarkStart w:id="26" w:name="_Toc294259448"/>
            <w:r>
              <w:t>DELIVERABLE II.2. Analysis of concrete interconnection projects</w:t>
            </w:r>
            <w:bookmarkEnd w:id="26"/>
            <w:r>
              <w:t xml:space="preserve"> </w:t>
            </w:r>
          </w:p>
        </w:tc>
      </w:tr>
      <w:tr w:rsidR="00CA489E">
        <w:trPr>
          <w:jc w:val="center"/>
        </w:trPr>
        <w:tc>
          <w:tcPr>
            <w:tcW w:w="3922" w:type="dxa"/>
            <w:shd w:val="clear" w:color="auto" w:fill="336798"/>
          </w:tcPr>
          <w:p w:rsidR="00CA489E" w:rsidRDefault="00CA489E">
            <w:pPr>
              <w:keepNext/>
              <w:spacing w:before="40" w:after="40"/>
              <w:jc w:val="center"/>
              <w:rPr>
                <w:rFonts w:ascii="Arial Narrow" w:hAnsi="Arial Narrow"/>
                <w:b/>
                <w:color w:val="FFFFFF"/>
                <w:sz w:val="20"/>
              </w:rPr>
            </w:pPr>
            <w:r>
              <w:rPr>
                <w:rFonts w:ascii="Arial Narrow" w:hAnsi="Arial Narrow"/>
                <w:b/>
                <w:color w:val="FFFFFF"/>
                <w:sz w:val="20"/>
              </w:rPr>
              <w:t>ACTION</w:t>
            </w:r>
          </w:p>
        </w:tc>
        <w:tc>
          <w:tcPr>
            <w:tcW w:w="1984" w:type="dxa"/>
            <w:shd w:val="clear" w:color="auto" w:fill="336798"/>
          </w:tcPr>
          <w:p w:rsidR="00CA489E" w:rsidRDefault="00CA489E">
            <w:pPr>
              <w:keepNext/>
              <w:spacing w:before="40" w:after="40"/>
              <w:jc w:val="center"/>
              <w:rPr>
                <w:rFonts w:ascii="Arial Narrow" w:hAnsi="Arial Narrow"/>
                <w:b/>
                <w:color w:val="FFFFFF"/>
                <w:sz w:val="20"/>
              </w:rPr>
            </w:pPr>
            <w:r>
              <w:rPr>
                <w:rFonts w:ascii="Arial Narrow" w:hAnsi="Arial Narrow"/>
                <w:b/>
                <w:color w:val="FFFFFF"/>
                <w:sz w:val="20"/>
              </w:rPr>
              <w:t>RESPONSIBLE</w:t>
            </w:r>
          </w:p>
        </w:tc>
        <w:tc>
          <w:tcPr>
            <w:tcW w:w="2501" w:type="dxa"/>
            <w:shd w:val="clear" w:color="auto" w:fill="336798"/>
          </w:tcPr>
          <w:p w:rsidR="00CA489E" w:rsidRDefault="00CA489E">
            <w:pPr>
              <w:keepNext/>
              <w:spacing w:before="40" w:after="40"/>
              <w:jc w:val="center"/>
              <w:rPr>
                <w:rFonts w:ascii="Arial Narrow" w:hAnsi="Arial Narrow"/>
                <w:b/>
                <w:color w:val="FFFFFF"/>
                <w:sz w:val="20"/>
              </w:rPr>
            </w:pPr>
            <w:r>
              <w:rPr>
                <w:rFonts w:ascii="Arial Narrow" w:hAnsi="Arial Narrow"/>
                <w:b/>
                <w:color w:val="FFFFFF"/>
                <w:sz w:val="20"/>
              </w:rPr>
              <w:t>DEADLINE</w:t>
            </w:r>
          </w:p>
        </w:tc>
      </w:tr>
      <w:tr w:rsidR="00CA489E">
        <w:trPr>
          <w:cantSplit/>
          <w:trHeight w:val="285"/>
          <w:jc w:val="center"/>
        </w:trPr>
        <w:tc>
          <w:tcPr>
            <w:tcW w:w="3922" w:type="dxa"/>
            <w:shd w:val="clear" w:color="auto" w:fill="FFFFFF"/>
          </w:tcPr>
          <w:p w:rsidR="00CA489E" w:rsidRDefault="00CA489E" w:rsidP="00A12EF9">
            <w:pPr>
              <w:keepNext/>
              <w:spacing w:before="60" w:after="60"/>
              <w:rPr>
                <w:rFonts w:ascii="Arial Narrow" w:hAnsi="Arial Narrow"/>
                <w:sz w:val="20"/>
              </w:rPr>
            </w:pPr>
            <w:r>
              <w:rPr>
                <w:rFonts w:ascii="Arial Narrow" w:hAnsi="Arial Narrow"/>
                <w:sz w:val="20"/>
              </w:rPr>
              <w:t>Follow-up on the current situation of the projects and works</w:t>
            </w:r>
          </w:p>
        </w:tc>
        <w:tc>
          <w:tcPr>
            <w:tcW w:w="1984" w:type="dxa"/>
            <w:shd w:val="clear" w:color="auto" w:fill="FFFFFF"/>
            <w:vAlign w:val="center"/>
          </w:tcPr>
          <w:p w:rsidR="00CA489E" w:rsidRDefault="00CA489E" w:rsidP="00E3566E">
            <w:pPr>
              <w:keepNext/>
              <w:spacing w:before="60" w:after="60"/>
              <w:jc w:val="center"/>
              <w:rPr>
                <w:rFonts w:ascii="Arial Narrow" w:hAnsi="Arial Narrow"/>
                <w:sz w:val="20"/>
              </w:rPr>
            </w:pPr>
            <w:r>
              <w:rPr>
                <w:rFonts w:ascii="Arial Narrow" w:hAnsi="Arial Narrow"/>
                <w:sz w:val="20"/>
              </w:rPr>
              <w:t>By TSOs to the IG</w:t>
            </w:r>
          </w:p>
        </w:tc>
        <w:tc>
          <w:tcPr>
            <w:tcW w:w="2501" w:type="dxa"/>
            <w:shd w:val="clear" w:color="auto" w:fill="FFFFFF"/>
            <w:vAlign w:val="center"/>
          </w:tcPr>
          <w:p w:rsidR="00CA489E" w:rsidRDefault="00CA489E" w:rsidP="00A12EF9">
            <w:pPr>
              <w:keepNext/>
              <w:spacing w:before="40" w:after="40"/>
              <w:jc w:val="center"/>
              <w:rPr>
                <w:rFonts w:ascii="Arial Narrow" w:hAnsi="Arial Narrow"/>
                <w:sz w:val="20"/>
              </w:rPr>
            </w:pPr>
            <w:r>
              <w:rPr>
                <w:rFonts w:ascii="Arial Narrow" w:hAnsi="Arial Narrow"/>
                <w:sz w:val="20"/>
              </w:rPr>
              <w:t>1</w:t>
            </w:r>
            <w:r w:rsidRPr="00A12EF9">
              <w:rPr>
                <w:rFonts w:ascii="Arial Narrow" w:hAnsi="Arial Narrow"/>
                <w:sz w:val="20"/>
                <w:vertAlign w:val="superscript"/>
              </w:rPr>
              <w:t>st</w:t>
            </w:r>
            <w:r>
              <w:rPr>
                <w:rFonts w:ascii="Arial Narrow" w:hAnsi="Arial Narrow"/>
                <w:sz w:val="20"/>
              </w:rPr>
              <w:t xml:space="preserve"> quarter 2013</w:t>
            </w:r>
          </w:p>
        </w:tc>
      </w:tr>
    </w:tbl>
    <w:p w:rsidR="00CA489E" w:rsidRDefault="00CA489E">
      <w:pPr>
        <w:keepLines w:val="0"/>
        <w:autoSpaceDE w:val="0"/>
        <w:autoSpaceDN w:val="0"/>
        <w:adjustRightInd w:val="0"/>
      </w:pPr>
    </w:p>
    <w:p w:rsidR="00CA489E" w:rsidRDefault="00CA489E">
      <w:pPr>
        <w:keepLines w:val="0"/>
        <w:autoSpaceDE w:val="0"/>
        <w:autoSpaceDN w:val="0"/>
        <w:adjustRightInd w:val="0"/>
      </w:pPr>
    </w:p>
    <w:p w:rsidR="00CA489E" w:rsidRDefault="00CA489E"/>
    <w:p w:rsidR="00CA489E" w:rsidRPr="00C63CF1" w:rsidRDefault="00CA489E">
      <w:pPr>
        <w:pStyle w:val="Ttulo2"/>
      </w:pPr>
      <w:bookmarkStart w:id="27" w:name="_Toc293416716"/>
      <w:proofErr w:type="gramStart"/>
      <w:r w:rsidRPr="00C63CF1">
        <w:t>Priority III.</w:t>
      </w:r>
      <w:proofErr w:type="gramEnd"/>
      <w:r w:rsidRPr="00C63CF1">
        <w:t xml:space="preserve"> Transparency</w:t>
      </w:r>
      <w:bookmarkEnd w:id="27"/>
    </w:p>
    <w:p w:rsidR="00CA489E" w:rsidRDefault="00CA489E"/>
    <w:p w:rsidR="00CA489E" w:rsidRDefault="00CA489E" w:rsidP="00E3566E">
      <w:r>
        <w:t xml:space="preserve">Thanks to the work done under the 2007-2009 Action Plan, both clarifications about the expected information and data as well as an evaluation of compliance degree were done. Although full transparency is almost reached in the region, the topic is not closed. First, monitoring must be carried out in order to check whether the remaining issues are solved. Secondly, in line with the ERGEG Work Programme 2010 and more particularly to the topic EWG-5 Input to the framework guideline on transparency in electricity, more information and data may have to be available. </w:t>
      </w:r>
    </w:p>
    <w:p w:rsidR="00CA489E" w:rsidRDefault="00CA489E" w:rsidP="00E3566E"/>
    <w:p w:rsidR="00CA489E" w:rsidRDefault="00CA489E" w:rsidP="00E3566E">
      <w:r>
        <w:t>The main references to build a sound cross-national monitoring on information management compliance are:</w:t>
      </w:r>
    </w:p>
    <w:p w:rsidR="00CA489E" w:rsidRDefault="00CA489E" w:rsidP="00E3566E"/>
    <w:p w:rsidR="00CA489E" w:rsidRDefault="00CA489E" w:rsidP="00E3566E">
      <w:pPr>
        <w:pStyle w:val="Default"/>
        <w:numPr>
          <w:ilvl w:val="0"/>
          <w:numId w:val="12"/>
        </w:numPr>
        <w:jc w:val="both"/>
        <w:rPr>
          <w:rFonts w:ascii="Arial" w:hAnsi="Arial"/>
          <w:bCs/>
          <w:color w:val="auto"/>
          <w:sz w:val="22"/>
          <w:szCs w:val="20"/>
          <w:lang w:val="en-GB" w:eastAsia="de-DE"/>
        </w:rPr>
      </w:pPr>
      <w:r>
        <w:rPr>
          <w:rFonts w:ascii="Arial" w:hAnsi="Arial"/>
          <w:bCs/>
          <w:color w:val="auto"/>
          <w:sz w:val="22"/>
          <w:szCs w:val="20"/>
          <w:lang w:val="en-GB" w:eastAsia="de-DE"/>
        </w:rPr>
        <w:t>Chapter 5 of the Congestion Management Guidelines</w:t>
      </w:r>
      <w:r>
        <w:rPr>
          <w:rStyle w:val="Refdenotaalpie"/>
          <w:rFonts w:cs="EUAlbertina"/>
          <w:bCs/>
          <w:color w:val="auto"/>
          <w:sz w:val="22"/>
          <w:lang w:val="en-GB" w:eastAsia="de-DE"/>
        </w:rPr>
        <w:footnoteReference w:id="10"/>
      </w:r>
      <w:r>
        <w:rPr>
          <w:rFonts w:ascii="Arial" w:hAnsi="Arial"/>
          <w:bCs/>
          <w:color w:val="auto"/>
          <w:sz w:val="22"/>
          <w:szCs w:val="20"/>
          <w:lang w:val="en-GB" w:eastAsia="de-DE"/>
        </w:rPr>
        <w:t xml:space="preserve"> (CMG) deals with transparency issues. The publication in due time of information such as planning and security standards,  infrastructure deployment, forecasts on demand and possible outages, available and allocated capacity in different time horizons, etc. is crucial to facilitate the integration of market actors in a cross-border scenario. These guidelines are binding as of 3 September 2009.</w:t>
      </w:r>
    </w:p>
    <w:p w:rsidR="00CA489E" w:rsidRDefault="00CA489E" w:rsidP="00E3566E">
      <w:pPr>
        <w:pStyle w:val="Default"/>
        <w:rPr>
          <w:rFonts w:ascii="Arial" w:hAnsi="Arial"/>
          <w:bCs/>
          <w:color w:val="auto"/>
          <w:sz w:val="22"/>
          <w:szCs w:val="20"/>
          <w:lang w:val="en-GB" w:eastAsia="de-DE"/>
        </w:rPr>
      </w:pPr>
      <w:r>
        <w:rPr>
          <w:rFonts w:ascii="Arial" w:hAnsi="Arial"/>
          <w:bCs/>
          <w:color w:val="auto"/>
          <w:sz w:val="22"/>
          <w:szCs w:val="20"/>
          <w:lang w:val="en-GB" w:eastAsia="de-DE"/>
        </w:rPr>
        <w:t xml:space="preserve"> </w:t>
      </w:r>
    </w:p>
    <w:p w:rsidR="00CA489E" w:rsidRDefault="00CA489E" w:rsidP="00E3566E">
      <w:pPr>
        <w:keepLines w:val="0"/>
        <w:numPr>
          <w:ilvl w:val="0"/>
          <w:numId w:val="12"/>
        </w:numPr>
        <w:autoSpaceDE w:val="0"/>
        <w:autoSpaceDN w:val="0"/>
        <w:adjustRightInd w:val="0"/>
      </w:pPr>
      <w:r>
        <w:lastRenderedPageBreak/>
        <w:t>ERGEG’s Guidelines on Good Practice on information management and transparency in electricity markets</w:t>
      </w:r>
      <w:r>
        <w:rPr>
          <w:rStyle w:val="Refdenotaalpie"/>
          <w:sz w:val="22"/>
        </w:rPr>
        <w:footnoteReference w:id="11"/>
      </w:r>
      <w:r>
        <w:t xml:space="preserve"> (GGP) have established a consistent approach addressing specifically the topic of transparency in provision of market related information across Member States. Incorporation of these Guidelines into legal framework is still being discussed and therefore they are not binding yet. </w:t>
      </w:r>
    </w:p>
    <w:p w:rsidR="00CA489E" w:rsidRDefault="00CA489E" w:rsidP="00E3566E"/>
    <w:p w:rsidR="00CA489E" w:rsidRDefault="00CA489E" w:rsidP="00E3566E">
      <w:pPr>
        <w:keepLines w:val="0"/>
        <w:numPr>
          <w:ilvl w:val="0"/>
          <w:numId w:val="12"/>
        </w:numPr>
        <w:autoSpaceDE w:val="0"/>
        <w:autoSpaceDN w:val="0"/>
        <w:adjustRightInd w:val="0"/>
      </w:pPr>
      <w:r>
        <w:t>ERGEG’s Input to the framework guideline on transparency in electricity: The document will set out rules for transparency concerning physical market information on electricity. Transparency was considered a high-priority issue by stakeholders in the 2008 autumn consultation. The European energy regulators will also take into consideration that there are interrelations with the financial markets in this area.</w:t>
      </w:r>
    </w:p>
    <w:p w:rsidR="00CA489E" w:rsidRDefault="00CA489E" w:rsidP="00E3566E"/>
    <w:p w:rsidR="00CA489E" w:rsidRDefault="00CA489E" w:rsidP="00E3566E">
      <w:pPr>
        <w:rPr>
          <w:rFonts w:cs="Arial"/>
          <w:color w:val="000000"/>
          <w:szCs w:val="22"/>
        </w:rPr>
      </w:pPr>
      <w:r>
        <w:rPr>
          <w:rFonts w:cs="Arial"/>
          <w:color w:val="000000"/>
          <w:szCs w:val="22"/>
        </w:rPr>
        <w:t xml:space="preserve">The main objective will be to identify and discuss any implementation problems that are relevant for the South-West region. Furthermore, the RCC will focus on questions such as: </w:t>
      </w:r>
    </w:p>
    <w:p w:rsidR="00CA489E" w:rsidRDefault="00CA489E" w:rsidP="00E3566E">
      <w:pPr>
        <w:pStyle w:val="Default"/>
        <w:jc w:val="both"/>
        <w:rPr>
          <w:sz w:val="22"/>
          <w:szCs w:val="22"/>
          <w:lang w:val="en-GB"/>
        </w:rPr>
      </w:pPr>
    </w:p>
    <w:p w:rsidR="00CA489E" w:rsidRPr="00E3566E" w:rsidRDefault="00CA489E" w:rsidP="00E3566E">
      <w:pPr>
        <w:pStyle w:val="Default"/>
        <w:numPr>
          <w:ilvl w:val="0"/>
          <w:numId w:val="12"/>
        </w:numPr>
        <w:jc w:val="both"/>
        <w:rPr>
          <w:rFonts w:ascii="Arial" w:hAnsi="Arial"/>
          <w:bCs/>
          <w:color w:val="auto"/>
          <w:sz w:val="22"/>
          <w:szCs w:val="20"/>
          <w:lang w:val="en-GB" w:eastAsia="de-DE"/>
        </w:rPr>
      </w:pPr>
      <w:r w:rsidRPr="00E3566E">
        <w:rPr>
          <w:rFonts w:ascii="Arial" w:hAnsi="Arial"/>
          <w:bCs/>
          <w:color w:val="auto"/>
          <w:sz w:val="22"/>
          <w:szCs w:val="20"/>
          <w:lang w:val="en-GB" w:eastAsia="de-DE"/>
        </w:rPr>
        <w:t xml:space="preserve">Which type of information should be disclosed, by whom and in what time frame? </w:t>
      </w:r>
    </w:p>
    <w:p w:rsidR="00CA489E" w:rsidRPr="00E3566E" w:rsidRDefault="00CA489E" w:rsidP="00E3566E">
      <w:pPr>
        <w:pStyle w:val="Default"/>
        <w:ind w:left="360"/>
        <w:jc w:val="both"/>
        <w:rPr>
          <w:rFonts w:ascii="Arial" w:hAnsi="Arial"/>
          <w:bCs/>
          <w:color w:val="auto"/>
          <w:sz w:val="22"/>
          <w:szCs w:val="20"/>
          <w:lang w:val="en-GB" w:eastAsia="de-DE"/>
        </w:rPr>
      </w:pPr>
    </w:p>
    <w:p w:rsidR="00CA489E" w:rsidRPr="00E3566E" w:rsidRDefault="00CA489E" w:rsidP="00E3566E">
      <w:pPr>
        <w:pStyle w:val="Default"/>
        <w:numPr>
          <w:ilvl w:val="0"/>
          <w:numId w:val="12"/>
        </w:numPr>
        <w:jc w:val="both"/>
        <w:rPr>
          <w:rFonts w:ascii="Arial" w:hAnsi="Arial"/>
          <w:bCs/>
          <w:color w:val="auto"/>
          <w:sz w:val="22"/>
          <w:szCs w:val="20"/>
          <w:lang w:val="en-GB" w:eastAsia="de-DE"/>
        </w:rPr>
      </w:pPr>
      <w:r w:rsidRPr="00E3566E">
        <w:rPr>
          <w:rFonts w:ascii="Arial" w:hAnsi="Arial"/>
          <w:bCs/>
          <w:color w:val="auto"/>
          <w:sz w:val="22"/>
          <w:szCs w:val="20"/>
          <w:lang w:val="en-GB" w:eastAsia="de-DE"/>
        </w:rPr>
        <w:t xml:space="preserve">How to get definitions aligned, </w:t>
      </w:r>
    </w:p>
    <w:p w:rsidR="00CA489E" w:rsidRDefault="00CA489E" w:rsidP="00E3566E">
      <w:pPr>
        <w:pStyle w:val="Default"/>
        <w:ind w:left="360"/>
        <w:jc w:val="both"/>
        <w:rPr>
          <w:rFonts w:ascii="Arial" w:hAnsi="Arial"/>
          <w:bCs/>
          <w:color w:val="auto"/>
          <w:sz w:val="22"/>
          <w:szCs w:val="20"/>
          <w:lang w:val="en-GB" w:eastAsia="de-DE"/>
        </w:rPr>
      </w:pPr>
    </w:p>
    <w:p w:rsidR="00CA489E" w:rsidRPr="00E3566E" w:rsidRDefault="00CA489E" w:rsidP="00E3566E">
      <w:pPr>
        <w:pStyle w:val="Default"/>
        <w:numPr>
          <w:ilvl w:val="0"/>
          <w:numId w:val="12"/>
        </w:numPr>
        <w:jc w:val="both"/>
        <w:rPr>
          <w:rFonts w:ascii="Arial" w:hAnsi="Arial"/>
          <w:bCs/>
          <w:color w:val="auto"/>
          <w:sz w:val="22"/>
          <w:szCs w:val="20"/>
          <w:lang w:val="en-GB" w:eastAsia="de-DE"/>
        </w:rPr>
      </w:pPr>
      <w:r w:rsidRPr="00E3566E">
        <w:rPr>
          <w:rFonts w:ascii="Arial" w:hAnsi="Arial"/>
          <w:bCs/>
          <w:color w:val="auto"/>
          <w:sz w:val="22"/>
          <w:szCs w:val="20"/>
          <w:lang w:val="en-GB" w:eastAsia="de-DE"/>
        </w:rPr>
        <w:t xml:space="preserve">How to organise data collection, </w:t>
      </w:r>
    </w:p>
    <w:p w:rsidR="00CA489E" w:rsidRPr="00E3566E" w:rsidRDefault="00CA489E" w:rsidP="00E3566E">
      <w:pPr>
        <w:pStyle w:val="Default"/>
        <w:ind w:left="360"/>
        <w:jc w:val="both"/>
        <w:rPr>
          <w:rFonts w:ascii="Arial" w:hAnsi="Arial"/>
          <w:bCs/>
          <w:color w:val="auto"/>
          <w:sz w:val="22"/>
          <w:szCs w:val="20"/>
          <w:lang w:val="en-GB" w:eastAsia="de-DE"/>
        </w:rPr>
      </w:pPr>
    </w:p>
    <w:p w:rsidR="00CA489E" w:rsidRPr="00E3566E" w:rsidRDefault="00CA489E" w:rsidP="00E3566E">
      <w:pPr>
        <w:pStyle w:val="Default"/>
        <w:numPr>
          <w:ilvl w:val="0"/>
          <w:numId w:val="12"/>
        </w:numPr>
        <w:jc w:val="both"/>
        <w:rPr>
          <w:rFonts w:ascii="Arial" w:hAnsi="Arial"/>
          <w:bCs/>
          <w:color w:val="auto"/>
          <w:sz w:val="22"/>
          <w:szCs w:val="20"/>
          <w:lang w:val="en-GB" w:eastAsia="de-DE"/>
        </w:rPr>
      </w:pPr>
      <w:r w:rsidRPr="00E3566E">
        <w:rPr>
          <w:rFonts w:ascii="Arial" w:hAnsi="Arial"/>
          <w:bCs/>
          <w:color w:val="auto"/>
          <w:sz w:val="22"/>
          <w:szCs w:val="20"/>
          <w:lang w:val="en-GB" w:eastAsia="de-DE"/>
        </w:rPr>
        <w:t xml:space="preserve">How and in what format to disclose this information and </w:t>
      </w:r>
    </w:p>
    <w:p w:rsidR="00CA489E" w:rsidRPr="00E3566E" w:rsidRDefault="00CA489E" w:rsidP="00E3566E">
      <w:pPr>
        <w:pStyle w:val="Default"/>
        <w:ind w:left="360"/>
        <w:jc w:val="both"/>
        <w:rPr>
          <w:rFonts w:ascii="Arial" w:hAnsi="Arial"/>
          <w:bCs/>
          <w:color w:val="auto"/>
          <w:sz w:val="22"/>
          <w:szCs w:val="20"/>
          <w:lang w:val="en-GB" w:eastAsia="de-DE"/>
        </w:rPr>
      </w:pPr>
    </w:p>
    <w:p w:rsidR="00CA489E" w:rsidRPr="00E3566E" w:rsidRDefault="00CA489E" w:rsidP="00E3566E">
      <w:pPr>
        <w:pStyle w:val="Default"/>
        <w:numPr>
          <w:ilvl w:val="0"/>
          <w:numId w:val="12"/>
        </w:numPr>
        <w:jc w:val="both"/>
        <w:rPr>
          <w:rFonts w:ascii="Arial" w:hAnsi="Arial"/>
          <w:bCs/>
          <w:color w:val="auto"/>
          <w:sz w:val="22"/>
          <w:szCs w:val="20"/>
          <w:lang w:val="en-GB" w:eastAsia="de-DE"/>
        </w:rPr>
      </w:pPr>
      <w:r w:rsidRPr="00E3566E">
        <w:rPr>
          <w:rFonts w:ascii="Arial" w:hAnsi="Arial"/>
          <w:bCs/>
          <w:color w:val="auto"/>
          <w:sz w:val="22"/>
          <w:szCs w:val="20"/>
          <w:lang w:val="en-GB" w:eastAsia="de-DE"/>
        </w:rPr>
        <w:t xml:space="preserve">Whether the requirements will be fulfilled by regulation or self-regulation of the market players concerned. </w:t>
      </w:r>
    </w:p>
    <w:p w:rsidR="00CA489E" w:rsidRDefault="00CA489E" w:rsidP="00E3566E">
      <w:pPr>
        <w:pStyle w:val="Default"/>
        <w:jc w:val="both"/>
        <w:rPr>
          <w:sz w:val="22"/>
          <w:szCs w:val="22"/>
          <w:lang w:val="en-GB"/>
        </w:rPr>
      </w:pPr>
    </w:p>
    <w:p w:rsidR="00CA489E" w:rsidRDefault="00CA489E" w:rsidP="00E3566E">
      <w:pPr>
        <w:rPr>
          <w:rFonts w:cs="Arial"/>
          <w:color w:val="000000"/>
          <w:szCs w:val="22"/>
        </w:rPr>
      </w:pPr>
      <w:r>
        <w:rPr>
          <w:rFonts w:cs="Arial"/>
          <w:color w:val="000000"/>
          <w:szCs w:val="22"/>
        </w:rPr>
        <w:t>In the first South-West transparency report, those questions were implicitly answered by taking the Central-South report as a basis. However, the conclusions of the working group on transparency on electricity may lead to new discussions. Furthermore, the Regional Co-ordination Committee will closely monitor the implementation of the new transparency requirements. However, the prime action to implement the transparency requirements will remain on each of the TSOs and will be supervised by its National Regulatory Authority.</w:t>
      </w:r>
    </w:p>
    <w:p w:rsidR="00CA489E" w:rsidRDefault="00CA489E"/>
    <w:p w:rsidR="00CA489E" w:rsidRDefault="00CA489E"/>
    <w:p w:rsidR="00CA489E" w:rsidRPr="00C63CF1" w:rsidRDefault="00CA489E">
      <w:pPr>
        <w:pStyle w:val="Ttulo3"/>
      </w:pPr>
      <w:bookmarkStart w:id="28" w:name="_Toc293416717"/>
      <w:r w:rsidRPr="00C63CF1">
        <w:t>Deliverable III.1: Regional transparency report assessing compliance with new transparency requirements</w:t>
      </w:r>
      <w:bookmarkEnd w:id="28"/>
    </w:p>
    <w:p w:rsidR="00CA489E" w:rsidRPr="00907435" w:rsidRDefault="00CA489E">
      <w:pPr>
        <w:pStyle w:val="Ttulo2"/>
        <w:numPr>
          <w:ilvl w:val="0"/>
          <w:numId w:val="0"/>
        </w:numPr>
        <w:rPr>
          <w:color w:val="FF0000"/>
        </w:rPr>
      </w:pPr>
    </w:p>
    <w:p w:rsidR="00CA489E" w:rsidRDefault="00CA489E" w:rsidP="00E3566E">
      <w:r>
        <w:t xml:space="preserve">Once the Transparency </w:t>
      </w:r>
      <w:proofErr w:type="spellStart"/>
      <w:r>
        <w:t>Comittology</w:t>
      </w:r>
      <w:proofErr w:type="spellEnd"/>
      <w:r>
        <w:t xml:space="preserve"> Guidelines are approved, a report assessing the compliance with new transparency requirements will be produced. As there is no certainty on the date for the approval of the Guidelines, the following timetable only describes the main lines. </w:t>
      </w:r>
    </w:p>
    <w:p w:rsidR="00CA489E" w:rsidRDefault="00CA489E"/>
    <w:p w:rsidR="00CA489E" w:rsidRPr="003E5E89" w:rsidRDefault="00CA489E">
      <w:pPr>
        <w:rPr>
          <w:lang w:val="en-US"/>
        </w:rPr>
      </w:pPr>
      <w:r>
        <w:rPr>
          <w:lang w:val="en-US"/>
        </w:rPr>
        <w:t>In the</w:t>
      </w:r>
      <w:r w:rsidRPr="00A26976">
        <w:rPr>
          <w:lang w:val="en-US"/>
        </w:rPr>
        <w:t xml:space="preserve"> context</w:t>
      </w:r>
      <w:r>
        <w:rPr>
          <w:lang w:val="en-US"/>
        </w:rPr>
        <w:t xml:space="preserve"> of transparency</w:t>
      </w:r>
      <w:r w:rsidRPr="00A26976">
        <w:rPr>
          <w:lang w:val="en-US"/>
        </w:rPr>
        <w:t xml:space="preserve">, the REMIT </w:t>
      </w:r>
      <w:r>
        <w:rPr>
          <w:lang w:val="en-US"/>
        </w:rPr>
        <w:t>will have to be taken into account as well</w:t>
      </w:r>
      <w:r w:rsidRPr="00A26976">
        <w:rPr>
          <w:lang w:val="en-US"/>
        </w:rPr>
        <w:t>.</w:t>
      </w:r>
    </w:p>
    <w:p w:rsidR="00CA489E" w:rsidRPr="003E5E89" w:rsidRDefault="00CA489E">
      <w:pPr>
        <w:rPr>
          <w:lang w:val="en-US"/>
        </w:rPr>
      </w:pPr>
    </w:p>
    <w:p w:rsidR="00CA489E" w:rsidRDefault="00CA489E">
      <w:r>
        <w:t>Timetable:</w:t>
      </w:r>
    </w:p>
    <w:p w:rsidR="00CA489E" w:rsidRDefault="00CA489E">
      <w:pPr>
        <w:rPr>
          <w:rFonts w:cs="Arial"/>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2"/>
        <w:gridCol w:w="1984"/>
        <w:gridCol w:w="2501"/>
      </w:tblGrid>
      <w:tr w:rsidR="00CA489E">
        <w:trPr>
          <w:jc w:val="center"/>
        </w:trPr>
        <w:tc>
          <w:tcPr>
            <w:tcW w:w="8407" w:type="dxa"/>
            <w:gridSpan w:val="3"/>
            <w:shd w:val="clear" w:color="auto" w:fill="336798"/>
          </w:tcPr>
          <w:p w:rsidR="00CA489E" w:rsidRDefault="00CA489E">
            <w:pPr>
              <w:pStyle w:val="table01"/>
            </w:pPr>
            <w:bookmarkStart w:id="29" w:name="_Toc294259449"/>
            <w:r>
              <w:t xml:space="preserve">DELIVERABLE III.1. </w:t>
            </w:r>
            <w:r w:rsidRPr="001643DB">
              <w:t>Regional transparency report assessing compliance with new transparency requirements</w:t>
            </w:r>
            <w:bookmarkEnd w:id="29"/>
          </w:p>
        </w:tc>
      </w:tr>
      <w:tr w:rsidR="00CA489E">
        <w:trPr>
          <w:jc w:val="center"/>
        </w:trPr>
        <w:tc>
          <w:tcPr>
            <w:tcW w:w="3922" w:type="dxa"/>
            <w:shd w:val="clear" w:color="auto" w:fill="336798"/>
          </w:tcPr>
          <w:p w:rsidR="00CA489E" w:rsidRDefault="00CA489E">
            <w:pPr>
              <w:keepNext/>
              <w:spacing w:before="40" w:after="40"/>
              <w:jc w:val="center"/>
              <w:rPr>
                <w:rFonts w:ascii="Arial Narrow" w:hAnsi="Arial Narrow"/>
                <w:b/>
                <w:color w:val="FFFFFF"/>
                <w:sz w:val="20"/>
              </w:rPr>
            </w:pPr>
            <w:r>
              <w:rPr>
                <w:rFonts w:ascii="Arial Narrow" w:hAnsi="Arial Narrow"/>
                <w:b/>
                <w:color w:val="FFFFFF"/>
                <w:sz w:val="20"/>
              </w:rPr>
              <w:t>ACTION</w:t>
            </w:r>
          </w:p>
        </w:tc>
        <w:tc>
          <w:tcPr>
            <w:tcW w:w="1984" w:type="dxa"/>
            <w:shd w:val="clear" w:color="auto" w:fill="336798"/>
          </w:tcPr>
          <w:p w:rsidR="00CA489E" w:rsidRDefault="00CA489E">
            <w:pPr>
              <w:keepNext/>
              <w:spacing w:before="40" w:after="40"/>
              <w:jc w:val="center"/>
              <w:rPr>
                <w:rFonts w:ascii="Arial Narrow" w:hAnsi="Arial Narrow"/>
                <w:b/>
                <w:color w:val="FFFFFF"/>
                <w:sz w:val="20"/>
              </w:rPr>
            </w:pPr>
            <w:r>
              <w:rPr>
                <w:rFonts w:ascii="Arial Narrow" w:hAnsi="Arial Narrow"/>
                <w:b/>
                <w:color w:val="FFFFFF"/>
                <w:sz w:val="20"/>
              </w:rPr>
              <w:t>RESPONSIBLE</w:t>
            </w:r>
          </w:p>
        </w:tc>
        <w:tc>
          <w:tcPr>
            <w:tcW w:w="2501" w:type="dxa"/>
            <w:shd w:val="clear" w:color="auto" w:fill="336798"/>
          </w:tcPr>
          <w:p w:rsidR="00CA489E" w:rsidRDefault="00CA489E">
            <w:pPr>
              <w:keepNext/>
              <w:spacing w:before="40" w:after="40"/>
              <w:jc w:val="center"/>
              <w:rPr>
                <w:rFonts w:ascii="Arial Narrow" w:hAnsi="Arial Narrow"/>
                <w:b/>
                <w:color w:val="FFFFFF"/>
                <w:sz w:val="20"/>
              </w:rPr>
            </w:pPr>
            <w:r>
              <w:rPr>
                <w:rFonts w:ascii="Arial Narrow" w:hAnsi="Arial Narrow"/>
                <w:b/>
                <w:color w:val="FFFFFF"/>
                <w:sz w:val="20"/>
              </w:rPr>
              <w:t>DEADLINE</w:t>
            </w:r>
          </w:p>
        </w:tc>
      </w:tr>
      <w:tr w:rsidR="00CA489E">
        <w:trPr>
          <w:cantSplit/>
          <w:trHeight w:val="285"/>
          <w:jc w:val="center"/>
        </w:trPr>
        <w:tc>
          <w:tcPr>
            <w:tcW w:w="3922" w:type="dxa"/>
            <w:shd w:val="clear" w:color="auto" w:fill="FFFFFF"/>
          </w:tcPr>
          <w:p w:rsidR="00CA489E" w:rsidRDefault="00CA489E" w:rsidP="00E3566E">
            <w:pPr>
              <w:keepNext/>
              <w:spacing w:before="60" w:after="60"/>
              <w:rPr>
                <w:rFonts w:ascii="Arial Narrow" w:hAnsi="Arial Narrow"/>
                <w:sz w:val="20"/>
              </w:rPr>
            </w:pPr>
            <w:r>
              <w:rPr>
                <w:rFonts w:ascii="Arial Narrow" w:hAnsi="Arial Narrow"/>
                <w:sz w:val="20"/>
              </w:rPr>
              <w:t>Questionnaire issued to TSOs and PXs</w:t>
            </w:r>
          </w:p>
        </w:tc>
        <w:tc>
          <w:tcPr>
            <w:tcW w:w="1984" w:type="dxa"/>
            <w:shd w:val="clear" w:color="auto" w:fill="FFFFFF"/>
            <w:vAlign w:val="center"/>
          </w:tcPr>
          <w:p w:rsidR="00CA489E" w:rsidRDefault="00CA489E" w:rsidP="00E3566E">
            <w:pPr>
              <w:keepNext/>
              <w:spacing w:before="60" w:after="60"/>
              <w:jc w:val="center"/>
              <w:rPr>
                <w:rFonts w:ascii="Arial Narrow" w:hAnsi="Arial Narrow"/>
                <w:sz w:val="20"/>
              </w:rPr>
            </w:pPr>
            <w:r>
              <w:rPr>
                <w:rFonts w:ascii="Arial Narrow" w:hAnsi="Arial Narrow"/>
                <w:sz w:val="20"/>
              </w:rPr>
              <w:t>RCC</w:t>
            </w:r>
          </w:p>
        </w:tc>
        <w:tc>
          <w:tcPr>
            <w:tcW w:w="2501" w:type="dxa"/>
            <w:vMerge w:val="restart"/>
            <w:shd w:val="clear" w:color="auto" w:fill="FFFFFF"/>
            <w:vAlign w:val="center"/>
          </w:tcPr>
          <w:p w:rsidR="00CA489E" w:rsidRDefault="00CA489E" w:rsidP="00E3566E">
            <w:pPr>
              <w:keepNext/>
              <w:spacing w:before="40" w:after="40"/>
              <w:jc w:val="center"/>
              <w:rPr>
                <w:rFonts w:ascii="Arial Narrow" w:hAnsi="Arial Narrow"/>
                <w:sz w:val="20"/>
              </w:rPr>
            </w:pPr>
            <w:r>
              <w:rPr>
                <w:rFonts w:ascii="Arial Narrow" w:hAnsi="Arial Narrow"/>
                <w:sz w:val="20"/>
              </w:rPr>
              <w:t xml:space="preserve">Timing to be decided when the new transparency </w:t>
            </w:r>
            <w:proofErr w:type="spellStart"/>
            <w:r>
              <w:rPr>
                <w:rFonts w:ascii="Arial Narrow" w:hAnsi="Arial Narrow"/>
                <w:sz w:val="20"/>
              </w:rPr>
              <w:t>comitology</w:t>
            </w:r>
            <w:proofErr w:type="spellEnd"/>
            <w:r>
              <w:rPr>
                <w:rFonts w:ascii="Arial Narrow" w:hAnsi="Arial Narrow"/>
                <w:sz w:val="20"/>
              </w:rPr>
              <w:t xml:space="preserve"> guidelines are approved.</w:t>
            </w:r>
          </w:p>
          <w:p w:rsidR="00CA489E" w:rsidRDefault="00CA489E" w:rsidP="00E3566E">
            <w:pPr>
              <w:keepNext/>
              <w:spacing w:before="40" w:after="40"/>
              <w:jc w:val="center"/>
              <w:rPr>
                <w:rFonts w:ascii="Arial Narrow" w:hAnsi="Arial Narrow"/>
                <w:sz w:val="20"/>
              </w:rPr>
            </w:pPr>
            <w:r>
              <w:rPr>
                <w:rFonts w:ascii="Arial Narrow" w:hAnsi="Arial Narrow"/>
                <w:sz w:val="20"/>
              </w:rPr>
              <w:t>Probably during 2011-2012</w:t>
            </w:r>
          </w:p>
        </w:tc>
      </w:tr>
      <w:tr w:rsidR="00CA489E">
        <w:trPr>
          <w:cantSplit/>
          <w:trHeight w:val="285"/>
          <w:jc w:val="center"/>
        </w:trPr>
        <w:tc>
          <w:tcPr>
            <w:tcW w:w="3922" w:type="dxa"/>
            <w:shd w:val="clear" w:color="auto" w:fill="FFFFFF"/>
          </w:tcPr>
          <w:p w:rsidR="00CA489E" w:rsidRDefault="00CA489E" w:rsidP="00E3566E">
            <w:pPr>
              <w:keepNext/>
              <w:spacing w:before="60" w:after="60"/>
              <w:rPr>
                <w:rFonts w:ascii="Arial Narrow" w:hAnsi="Arial Narrow"/>
                <w:sz w:val="20"/>
              </w:rPr>
            </w:pPr>
            <w:r>
              <w:rPr>
                <w:rFonts w:ascii="Arial Narrow" w:hAnsi="Arial Narrow"/>
                <w:sz w:val="20"/>
              </w:rPr>
              <w:t>Response to the questionnaire</w:t>
            </w:r>
          </w:p>
        </w:tc>
        <w:tc>
          <w:tcPr>
            <w:tcW w:w="1984" w:type="dxa"/>
            <w:shd w:val="clear" w:color="auto" w:fill="FFFFFF"/>
            <w:vAlign w:val="center"/>
          </w:tcPr>
          <w:p w:rsidR="00CA489E" w:rsidRDefault="00CA489E" w:rsidP="00E3566E">
            <w:pPr>
              <w:keepNext/>
              <w:spacing w:before="60" w:after="60"/>
              <w:jc w:val="center"/>
              <w:rPr>
                <w:rFonts w:ascii="Arial Narrow" w:hAnsi="Arial Narrow"/>
                <w:sz w:val="20"/>
              </w:rPr>
            </w:pPr>
            <w:r>
              <w:rPr>
                <w:rFonts w:ascii="Arial Narrow" w:hAnsi="Arial Narrow"/>
                <w:sz w:val="20"/>
              </w:rPr>
              <w:t>TSOs &amp; PXs</w:t>
            </w:r>
          </w:p>
        </w:tc>
        <w:tc>
          <w:tcPr>
            <w:tcW w:w="2501" w:type="dxa"/>
            <w:vMerge/>
            <w:shd w:val="clear" w:color="auto" w:fill="FFFFFF"/>
            <w:vAlign w:val="center"/>
          </w:tcPr>
          <w:p w:rsidR="00CA489E" w:rsidRPr="001643DB" w:rsidRDefault="00CA489E">
            <w:pPr>
              <w:keepNext/>
              <w:spacing w:before="40" w:after="40"/>
              <w:jc w:val="center"/>
              <w:rPr>
                <w:rFonts w:ascii="Arial Narrow" w:hAnsi="Arial Narrow"/>
                <w:color w:val="FF0000"/>
                <w:sz w:val="20"/>
              </w:rPr>
            </w:pPr>
          </w:p>
        </w:tc>
      </w:tr>
      <w:tr w:rsidR="00CA489E">
        <w:trPr>
          <w:cantSplit/>
          <w:trHeight w:val="285"/>
          <w:jc w:val="center"/>
        </w:trPr>
        <w:tc>
          <w:tcPr>
            <w:tcW w:w="3922" w:type="dxa"/>
            <w:shd w:val="clear" w:color="auto" w:fill="FFFFFF"/>
          </w:tcPr>
          <w:p w:rsidR="00CA489E" w:rsidRDefault="00CA489E" w:rsidP="00E3566E">
            <w:pPr>
              <w:keepNext/>
              <w:spacing w:before="60" w:after="60"/>
              <w:rPr>
                <w:rFonts w:ascii="Arial Narrow" w:hAnsi="Arial Narrow"/>
                <w:sz w:val="20"/>
              </w:rPr>
            </w:pPr>
            <w:r>
              <w:rPr>
                <w:rFonts w:ascii="Arial Narrow" w:hAnsi="Arial Narrow"/>
                <w:sz w:val="20"/>
              </w:rPr>
              <w:t>First paper on main findings from replies from the questionnaire</w:t>
            </w:r>
          </w:p>
        </w:tc>
        <w:tc>
          <w:tcPr>
            <w:tcW w:w="1984" w:type="dxa"/>
            <w:shd w:val="clear" w:color="auto" w:fill="FFFFFF"/>
            <w:vAlign w:val="center"/>
          </w:tcPr>
          <w:p w:rsidR="00CA489E" w:rsidRDefault="00CA489E" w:rsidP="00E3566E">
            <w:pPr>
              <w:keepNext/>
              <w:spacing w:before="60" w:after="60"/>
              <w:jc w:val="center"/>
              <w:rPr>
                <w:rFonts w:ascii="Arial Narrow" w:hAnsi="Arial Narrow"/>
                <w:sz w:val="20"/>
              </w:rPr>
            </w:pPr>
            <w:r>
              <w:rPr>
                <w:rFonts w:ascii="Arial Narrow" w:hAnsi="Arial Narrow"/>
                <w:sz w:val="20"/>
              </w:rPr>
              <w:t>RCC</w:t>
            </w:r>
          </w:p>
        </w:tc>
        <w:tc>
          <w:tcPr>
            <w:tcW w:w="2501" w:type="dxa"/>
            <w:vMerge/>
            <w:shd w:val="clear" w:color="auto" w:fill="FFFFFF"/>
            <w:vAlign w:val="center"/>
          </w:tcPr>
          <w:p w:rsidR="00CA489E" w:rsidRPr="001643DB" w:rsidRDefault="00CA489E">
            <w:pPr>
              <w:keepNext/>
              <w:spacing w:before="40" w:after="40"/>
              <w:jc w:val="center"/>
              <w:rPr>
                <w:rFonts w:ascii="Arial Narrow" w:hAnsi="Arial Narrow"/>
                <w:color w:val="FF0000"/>
                <w:sz w:val="20"/>
              </w:rPr>
            </w:pPr>
          </w:p>
        </w:tc>
      </w:tr>
      <w:tr w:rsidR="00CA489E">
        <w:trPr>
          <w:cantSplit/>
          <w:trHeight w:val="285"/>
          <w:jc w:val="center"/>
        </w:trPr>
        <w:tc>
          <w:tcPr>
            <w:tcW w:w="3922" w:type="dxa"/>
            <w:shd w:val="clear" w:color="auto" w:fill="FFFFFF"/>
          </w:tcPr>
          <w:p w:rsidR="00CA489E" w:rsidRDefault="00CA489E" w:rsidP="00E3566E">
            <w:pPr>
              <w:keepNext/>
              <w:spacing w:before="60" w:after="60"/>
              <w:rPr>
                <w:rFonts w:ascii="Arial Narrow" w:hAnsi="Arial Narrow"/>
                <w:sz w:val="20"/>
              </w:rPr>
            </w:pPr>
            <w:r>
              <w:rPr>
                <w:rFonts w:ascii="Arial Narrow" w:hAnsi="Arial Narrow"/>
                <w:sz w:val="20"/>
              </w:rPr>
              <w:t>Public consultation</w:t>
            </w:r>
          </w:p>
        </w:tc>
        <w:tc>
          <w:tcPr>
            <w:tcW w:w="1984" w:type="dxa"/>
            <w:shd w:val="clear" w:color="auto" w:fill="FFFFFF"/>
            <w:vAlign w:val="center"/>
          </w:tcPr>
          <w:p w:rsidR="00CA489E" w:rsidRDefault="00CA489E" w:rsidP="00E3566E">
            <w:pPr>
              <w:keepNext/>
              <w:spacing w:before="60" w:after="60"/>
              <w:jc w:val="center"/>
              <w:rPr>
                <w:rFonts w:ascii="Arial Narrow" w:hAnsi="Arial Narrow"/>
                <w:sz w:val="20"/>
              </w:rPr>
            </w:pPr>
            <w:r>
              <w:rPr>
                <w:rFonts w:ascii="Arial Narrow" w:hAnsi="Arial Narrow"/>
                <w:sz w:val="20"/>
              </w:rPr>
              <w:t>Through SG</w:t>
            </w:r>
          </w:p>
        </w:tc>
        <w:tc>
          <w:tcPr>
            <w:tcW w:w="2501" w:type="dxa"/>
            <w:vMerge/>
            <w:shd w:val="clear" w:color="auto" w:fill="FFFFFF"/>
            <w:vAlign w:val="center"/>
          </w:tcPr>
          <w:p w:rsidR="00CA489E" w:rsidRPr="001643DB" w:rsidRDefault="00CA489E">
            <w:pPr>
              <w:keepNext/>
              <w:spacing w:before="40" w:after="40"/>
              <w:jc w:val="center"/>
              <w:rPr>
                <w:rFonts w:ascii="Arial Narrow" w:hAnsi="Arial Narrow"/>
                <w:color w:val="FF0000"/>
                <w:sz w:val="20"/>
              </w:rPr>
            </w:pPr>
          </w:p>
        </w:tc>
      </w:tr>
      <w:tr w:rsidR="00CA489E">
        <w:trPr>
          <w:cantSplit/>
          <w:trHeight w:val="285"/>
          <w:jc w:val="center"/>
        </w:trPr>
        <w:tc>
          <w:tcPr>
            <w:tcW w:w="3922" w:type="dxa"/>
            <w:shd w:val="clear" w:color="auto" w:fill="FFFFFF"/>
          </w:tcPr>
          <w:p w:rsidR="00CA489E" w:rsidRDefault="00CA489E" w:rsidP="00E3566E">
            <w:pPr>
              <w:keepNext/>
              <w:spacing w:before="60" w:after="60"/>
              <w:rPr>
                <w:rFonts w:ascii="Arial Narrow" w:hAnsi="Arial Narrow"/>
                <w:sz w:val="20"/>
              </w:rPr>
            </w:pPr>
            <w:r>
              <w:rPr>
                <w:rFonts w:ascii="Arial Narrow" w:hAnsi="Arial Narrow"/>
                <w:sz w:val="20"/>
              </w:rPr>
              <w:t>Conclusions from the public consultation. Final report</w:t>
            </w:r>
          </w:p>
        </w:tc>
        <w:tc>
          <w:tcPr>
            <w:tcW w:w="1984" w:type="dxa"/>
            <w:shd w:val="clear" w:color="auto" w:fill="FFFFFF"/>
            <w:vAlign w:val="center"/>
          </w:tcPr>
          <w:p w:rsidR="00CA489E" w:rsidRDefault="00CA489E" w:rsidP="00E3566E">
            <w:pPr>
              <w:keepNext/>
              <w:spacing w:before="60" w:after="60"/>
              <w:jc w:val="center"/>
              <w:rPr>
                <w:rFonts w:ascii="Arial Narrow" w:hAnsi="Arial Narrow"/>
                <w:sz w:val="20"/>
              </w:rPr>
            </w:pPr>
            <w:r>
              <w:rPr>
                <w:rFonts w:ascii="Arial Narrow" w:hAnsi="Arial Narrow"/>
                <w:sz w:val="20"/>
              </w:rPr>
              <w:t>RCC</w:t>
            </w:r>
          </w:p>
        </w:tc>
        <w:tc>
          <w:tcPr>
            <w:tcW w:w="2501" w:type="dxa"/>
            <w:vMerge/>
            <w:shd w:val="clear" w:color="auto" w:fill="FFFFFF"/>
            <w:vAlign w:val="center"/>
          </w:tcPr>
          <w:p w:rsidR="00CA489E" w:rsidRPr="001643DB" w:rsidRDefault="00CA489E">
            <w:pPr>
              <w:keepNext/>
              <w:spacing w:before="40" w:after="40"/>
              <w:jc w:val="center"/>
              <w:rPr>
                <w:rFonts w:ascii="Arial Narrow" w:hAnsi="Arial Narrow"/>
                <w:color w:val="FF0000"/>
                <w:sz w:val="20"/>
              </w:rPr>
            </w:pPr>
          </w:p>
        </w:tc>
      </w:tr>
      <w:tr w:rsidR="00CA489E">
        <w:trPr>
          <w:cantSplit/>
          <w:trHeight w:val="285"/>
          <w:jc w:val="center"/>
        </w:trPr>
        <w:tc>
          <w:tcPr>
            <w:tcW w:w="3922" w:type="dxa"/>
            <w:shd w:val="clear" w:color="auto" w:fill="FFFFFF"/>
          </w:tcPr>
          <w:p w:rsidR="00CA489E" w:rsidRDefault="00CA489E" w:rsidP="00E3566E">
            <w:pPr>
              <w:keepNext/>
              <w:spacing w:before="60" w:after="60"/>
              <w:rPr>
                <w:rFonts w:ascii="Arial Narrow" w:hAnsi="Arial Narrow"/>
                <w:sz w:val="20"/>
              </w:rPr>
            </w:pPr>
            <w:r>
              <w:rPr>
                <w:rFonts w:ascii="Arial Narrow" w:hAnsi="Arial Narrow"/>
                <w:sz w:val="20"/>
              </w:rPr>
              <w:t>Regulatory proposal</w:t>
            </w:r>
          </w:p>
        </w:tc>
        <w:tc>
          <w:tcPr>
            <w:tcW w:w="1984" w:type="dxa"/>
            <w:shd w:val="clear" w:color="auto" w:fill="FFFFFF"/>
            <w:vAlign w:val="center"/>
          </w:tcPr>
          <w:p w:rsidR="00CA489E" w:rsidRDefault="00CA489E" w:rsidP="00E3566E">
            <w:pPr>
              <w:keepNext/>
              <w:spacing w:before="60" w:after="60"/>
              <w:jc w:val="center"/>
              <w:rPr>
                <w:rFonts w:ascii="Arial Narrow" w:hAnsi="Arial Narrow"/>
                <w:sz w:val="20"/>
              </w:rPr>
            </w:pPr>
            <w:r>
              <w:rPr>
                <w:rFonts w:ascii="Arial Narrow" w:hAnsi="Arial Narrow"/>
                <w:sz w:val="20"/>
              </w:rPr>
              <w:t>RCC</w:t>
            </w:r>
          </w:p>
        </w:tc>
        <w:tc>
          <w:tcPr>
            <w:tcW w:w="2501" w:type="dxa"/>
            <w:vMerge/>
            <w:shd w:val="clear" w:color="auto" w:fill="FFFFFF"/>
            <w:vAlign w:val="center"/>
          </w:tcPr>
          <w:p w:rsidR="00CA489E" w:rsidRPr="001643DB" w:rsidRDefault="00CA489E">
            <w:pPr>
              <w:keepNext/>
              <w:spacing w:before="40" w:after="40"/>
              <w:jc w:val="center"/>
              <w:rPr>
                <w:rFonts w:ascii="Arial Narrow" w:hAnsi="Arial Narrow"/>
                <w:color w:val="FF0000"/>
                <w:sz w:val="20"/>
              </w:rPr>
            </w:pPr>
          </w:p>
        </w:tc>
      </w:tr>
      <w:tr w:rsidR="00CA489E">
        <w:trPr>
          <w:cantSplit/>
          <w:trHeight w:val="285"/>
          <w:jc w:val="center"/>
        </w:trPr>
        <w:tc>
          <w:tcPr>
            <w:tcW w:w="3922" w:type="dxa"/>
            <w:shd w:val="clear" w:color="auto" w:fill="FFFFFF"/>
          </w:tcPr>
          <w:p w:rsidR="00CA489E" w:rsidRDefault="00CA489E" w:rsidP="00E3566E">
            <w:pPr>
              <w:keepNext/>
              <w:spacing w:before="60" w:after="60"/>
              <w:rPr>
                <w:rFonts w:ascii="Arial Narrow" w:hAnsi="Arial Narrow"/>
                <w:sz w:val="20"/>
              </w:rPr>
            </w:pPr>
            <w:r>
              <w:rPr>
                <w:rFonts w:ascii="Arial Narrow" w:hAnsi="Arial Narrow"/>
                <w:sz w:val="20"/>
              </w:rPr>
              <w:t>Presentation to the SG</w:t>
            </w:r>
          </w:p>
        </w:tc>
        <w:tc>
          <w:tcPr>
            <w:tcW w:w="1984" w:type="dxa"/>
            <w:shd w:val="clear" w:color="auto" w:fill="FFFFFF"/>
            <w:vAlign w:val="center"/>
          </w:tcPr>
          <w:p w:rsidR="00CA489E" w:rsidRDefault="00CA489E" w:rsidP="00E3566E">
            <w:pPr>
              <w:keepNext/>
              <w:spacing w:before="60" w:after="60"/>
              <w:jc w:val="center"/>
              <w:rPr>
                <w:rFonts w:ascii="Arial Narrow" w:hAnsi="Arial Narrow"/>
                <w:sz w:val="20"/>
              </w:rPr>
            </w:pPr>
            <w:r>
              <w:rPr>
                <w:rFonts w:ascii="Arial Narrow" w:hAnsi="Arial Narrow"/>
                <w:sz w:val="20"/>
              </w:rPr>
              <w:t>RCC</w:t>
            </w:r>
          </w:p>
        </w:tc>
        <w:tc>
          <w:tcPr>
            <w:tcW w:w="2501" w:type="dxa"/>
            <w:vMerge/>
            <w:shd w:val="clear" w:color="auto" w:fill="FFFFFF"/>
            <w:vAlign w:val="center"/>
          </w:tcPr>
          <w:p w:rsidR="00CA489E" w:rsidRPr="001643DB" w:rsidRDefault="00CA489E">
            <w:pPr>
              <w:keepNext/>
              <w:spacing w:before="40" w:after="40"/>
              <w:jc w:val="center"/>
              <w:rPr>
                <w:rFonts w:ascii="Arial Narrow" w:hAnsi="Arial Narrow"/>
                <w:color w:val="FF0000"/>
                <w:sz w:val="20"/>
              </w:rPr>
            </w:pPr>
          </w:p>
        </w:tc>
      </w:tr>
    </w:tbl>
    <w:p w:rsidR="00CA489E" w:rsidRDefault="00CA489E">
      <w:pPr>
        <w:rPr>
          <w:rFonts w:cs="Arial"/>
          <w:color w:val="000000"/>
          <w:szCs w:val="22"/>
        </w:rPr>
      </w:pPr>
    </w:p>
    <w:p w:rsidR="00CA489E" w:rsidRDefault="00CA489E">
      <w:pPr>
        <w:rPr>
          <w:rFonts w:cs="Arial"/>
          <w:color w:val="000000"/>
          <w:szCs w:val="22"/>
        </w:rPr>
      </w:pPr>
    </w:p>
    <w:p w:rsidR="00CA489E" w:rsidRDefault="00CA489E">
      <w:pPr>
        <w:rPr>
          <w:lang w:val="en-US"/>
        </w:rPr>
      </w:pPr>
    </w:p>
    <w:p w:rsidR="00CA489E" w:rsidRDefault="00CA489E">
      <w:pPr>
        <w:pStyle w:val="Ttulo2"/>
      </w:pPr>
      <w:bookmarkStart w:id="30" w:name="_Toc293416718"/>
      <w:proofErr w:type="gramStart"/>
      <w:r>
        <w:t>Priority IV.</w:t>
      </w:r>
      <w:proofErr w:type="gramEnd"/>
      <w:r>
        <w:t xml:space="preserve"> Regional report on the management and use of interconnections</w:t>
      </w:r>
      <w:bookmarkEnd w:id="30"/>
    </w:p>
    <w:p w:rsidR="00CA489E" w:rsidRDefault="00CA489E"/>
    <w:p w:rsidR="00CA489E" w:rsidRDefault="00CA489E">
      <w:r>
        <w:t>The region will keep monitoring the efficiency in the use of interconnections in line with the regional reports on the management and use of interconnectors produced with 2008 and 2009 data</w:t>
      </w:r>
      <w:r>
        <w:rPr>
          <w:rStyle w:val="Refdenotaalpie"/>
          <w:sz w:val="22"/>
        </w:rPr>
        <w:footnoteReference w:id="12"/>
      </w:r>
      <w:r>
        <w:t>.</w:t>
      </w:r>
    </w:p>
    <w:p w:rsidR="00CA489E" w:rsidRDefault="00CA489E"/>
    <w:p w:rsidR="00CA489E" w:rsidRDefault="00CA489E">
      <w:pPr>
        <w:pStyle w:val="Ttulo3"/>
        <w:rPr>
          <w:szCs w:val="22"/>
        </w:rPr>
      </w:pPr>
      <w:bookmarkStart w:id="31" w:name="_Toc293416719"/>
      <w:proofErr w:type="gramStart"/>
      <w:r>
        <w:t>Deliverable IV.1.</w:t>
      </w:r>
      <w:proofErr w:type="gramEnd"/>
      <w:r>
        <w:t xml:space="preserve"> Regional report on the management and use of interconnections</w:t>
      </w:r>
      <w:bookmarkEnd w:id="31"/>
      <w:r>
        <w:t xml:space="preserve"> </w:t>
      </w:r>
    </w:p>
    <w:p w:rsidR="00CA489E" w:rsidRDefault="00CA489E"/>
    <w:p w:rsidR="00CA489E" w:rsidRPr="00E3566E" w:rsidRDefault="00CA489E">
      <w:pPr>
        <w:autoSpaceDE w:val="0"/>
        <w:autoSpaceDN w:val="0"/>
        <w:adjustRightInd w:val="0"/>
      </w:pPr>
      <w:r w:rsidRPr="00E3566E">
        <w:t xml:space="preserve">This regional report on electricity interconnections management and use mainly aims to provide “a detailed evaluation of the economic efficiency of congestion management methods” at a regional level. </w:t>
      </w:r>
    </w:p>
    <w:p w:rsidR="00CA489E" w:rsidRPr="00E3566E" w:rsidRDefault="00CA489E">
      <w:pPr>
        <w:autoSpaceDE w:val="0"/>
        <w:autoSpaceDN w:val="0"/>
        <w:adjustRightInd w:val="0"/>
      </w:pPr>
    </w:p>
    <w:p w:rsidR="00CA489E" w:rsidRPr="0019778B" w:rsidRDefault="00CA489E">
      <w:pPr>
        <w:autoSpaceDE w:val="0"/>
        <w:autoSpaceDN w:val="0"/>
        <w:adjustRightInd w:val="0"/>
      </w:pPr>
      <w:r w:rsidRPr="00E3566E">
        <w:t xml:space="preserve">This regional report should also help National Regulatory Authorities to reach not only a </w:t>
      </w:r>
      <w:r w:rsidRPr="0019778B">
        <w:t>common understanding about the functioning of congestion management methods, but also a common view about the best way to further improve their functioning.</w:t>
      </w:r>
    </w:p>
    <w:p w:rsidR="00CA489E" w:rsidRPr="0019778B" w:rsidRDefault="00CA489E">
      <w:pPr>
        <w:autoSpaceDE w:val="0"/>
        <w:autoSpaceDN w:val="0"/>
        <w:adjustRightInd w:val="0"/>
      </w:pPr>
    </w:p>
    <w:p w:rsidR="00CA489E" w:rsidRDefault="00CA489E">
      <w:pPr>
        <w:autoSpaceDE w:val="0"/>
        <w:autoSpaceDN w:val="0"/>
        <w:adjustRightInd w:val="0"/>
      </w:pPr>
    </w:p>
    <w:p w:rsidR="00CA489E" w:rsidRDefault="00CA489E" w:rsidP="005F57CB">
      <w:r>
        <w:t xml:space="preserve">Regulators of the SW region will work with other regions and ACER to agree a coordinated approach to producing regional reports on the management and use of interconnectors. The key challenge in producing the regional report is access to consistent and up to date data.  </w:t>
      </w:r>
    </w:p>
    <w:p w:rsidR="00CA489E" w:rsidRPr="0019778B" w:rsidRDefault="00CA489E">
      <w:pPr>
        <w:pStyle w:val="Text"/>
        <w:spacing w:line="360" w:lineRule="auto"/>
      </w:pPr>
    </w:p>
    <w:p w:rsidR="00CA489E" w:rsidRPr="0019778B" w:rsidRDefault="00CA489E">
      <w:pPr>
        <w:pStyle w:val="Text"/>
        <w:spacing w:line="360" w:lineRule="auto"/>
        <w:rPr>
          <w:rFonts w:cs="Arial"/>
          <w:szCs w:val="22"/>
          <w:lang w:val="en-US"/>
        </w:rPr>
      </w:pPr>
      <w:r w:rsidRPr="0019778B">
        <w:rPr>
          <w:rFonts w:cs="Arial"/>
          <w:szCs w:val="22"/>
          <w:lang w:val="en-US"/>
        </w:rPr>
        <w:t>Timetable:</w:t>
      </w:r>
    </w:p>
    <w:p w:rsidR="00CA489E" w:rsidRDefault="00CA489E">
      <w:pPr>
        <w:pStyle w:val="Text"/>
        <w:spacing w:line="360" w:lineRule="auto"/>
        <w:rPr>
          <w:rFonts w:cs="Arial"/>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2"/>
        <w:gridCol w:w="1984"/>
        <w:gridCol w:w="2501"/>
      </w:tblGrid>
      <w:tr w:rsidR="00CA489E">
        <w:trPr>
          <w:jc w:val="center"/>
        </w:trPr>
        <w:tc>
          <w:tcPr>
            <w:tcW w:w="8407" w:type="dxa"/>
            <w:gridSpan w:val="3"/>
            <w:shd w:val="clear" w:color="auto" w:fill="336798"/>
          </w:tcPr>
          <w:p w:rsidR="00CA489E" w:rsidRDefault="00CA489E">
            <w:pPr>
              <w:pStyle w:val="table01"/>
            </w:pPr>
            <w:bookmarkStart w:id="32" w:name="_Toc294259450"/>
            <w:r>
              <w:t>DELIVERABLE IV.1. Regional report on the management and use of interconnections</w:t>
            </w:r>
            <w:bookmarkEnd w:id="32"/>
          </w:p>
        </w:tc>
      </w:tr>
      <w:tr w:rsidR="00CA489E">
        <w:trPr>
          <w:jc w:val="center"/>
        </w:trPr>
        <w:tc>
          <w:tcPr>
            <w:tcW w:w="3922" w:type="dxa"/>
            <w:shd w:val="clear" w:color="auto" w:fill="336798"/>
          </w:tcPr>
          <w:p w:rsidR="00CA489E" w:rsidRDefault="00CA489E">
            <w:pPr>
              <w:keepNext/>
              <w:spacing w:before="40" w:after="40"/>
              <w:jc w:val="center"/>
              <w:rPr>
                <w:rFonts w:ascii="Arial Narrow" w:hAnsi="Arial Narrow"/>
                <w:b/>
                <w:color w:val="FFFFFF"/>
                <w:sz w:val="20"/>
              </w:rPr>
            </w:pPr>
            <w:r>
              <w:rPr>
                <w:rFonts w:ascii="Arial Narrow" w:hAnsi="Arial Narrow"/>
                <w:b/>
                <w:color w:val="FFFFFF"/>
                <w:sz w:val="20"/>
              </w:rPr>
              <w:t>ACTION</w:t>
            </w:r>
          </w:p>
        </w:tc>
        <w:tc>
          <w:tcPr>
            <w:tcW w:w="1984" w:type="dxa"/>
            <w:shd w:val="clear" w:color="auto" w:fill="336798"/>
          </w:tcPr>
          <w:p w:rsidR="00CA489E" w:rsidRDefault="00CA489E">
            <w:pPr>
              <w:keepNext/>
              <w:spacing w:before="40" w:after="40"/>
              <w:jc w:val="center"/>
              <w:rPr>
                <w:rFonts w:ascii="Arial Narrow" w:hAnsi="Arial Narrow"/>
                <w:b/>
                <w:color w:val="FFFFFF"/>
                <w:sz w:val="20"/>
              </w:rPr>
            </w:pPr>
            <w:r>
              <w:rPr>
                <w:rFonts w:ascii="Arial Narrow" w:hAnsi="Arial Narrow"/>
                <w:b/>
                <w:color w:val="FFFFFF"/>
                <w:sz w:val="20"/>
              </w:rPr>
              <w:t>RESPONSIBLE</w:t>
            </w:r>
          </w:p>
        </w:tc>
        <w:tc>
          <w:tcPr>
            <w:tcW w:w="2501" w:type="dxa"/>
            <w:shd w:val="clear" w:color="auto" w:fill="336798"/>
          </w:tcPr>
          <w:p w:rsidR="00CA489E" w:rsidRDefault="00CA489E">
            <w:pPr>
              <w:keepNext/>
              <w:spacing w:before="40" w:after="40"/>
              <w:jc w:val="center"/>
              <w:rPr>
                <w:rFonts w:ascii="Arial Narrow" w:hAnsi="Arial Narrow"/>
                <w:b/>
                <w:color w:val="FFFFFF"/>
                <w:sz w:val="20"/>
              </w:rPr>
            </w:pPr>
            <w:r>
              <w:rPr>
                <w:rFonts w:ascii="Arial Narrow" w:hAnsi="Arial Narrow"/>
                <w:b/>
                <w:color w:val="FFFFFF"/>
                <w:sz w:val="20"/>
              </w:rPr>
              <w:t>DEADLINE</w:t>
            </w:r>
          </w:p>
        </w:tc>
      </w:tr>
      <w:tr w:rsidR="00CA489E">
        <w:trPr>
          <w:cantSplit/>
          <w:trHeight w:val="285"/>
          <w:jc w:val="center"/>
        </w:trPr>
        <w:tc>
          <w:tcPr>
            <w:tcW w:w="3922" w:type="dxa"/>
            <w:shd w:val="clear" w:color="auto" w:fill="FFFFFF"/>
          </w:tcPr>
          <w:p w:rsidR="00CA489E" w:rsidRDefault="00CA489E">
            <w:pPr>
              <w:keepNext/>
              <w:spacing w:before="60" w:after="60"/>
              <w:rPr>
                <w:rFonts w:ascii="Arial Narrow" w:hAnsi="Arial Narrow"/>
                <w:sz w:val="20"/>
              </w:rPr>
            </w:pPr>
            <w:r>
              <w:rPr>
                <w:rFonts w:ascii="Arial Narrow" w:hAnsi="Arial Narrow"/>
                <w:sz w:val="20"/>
              </w:rPr>
              <w:t>Data request issued to TSOs and PXs</w:t>
            </w:r>
          </w:p>
        </w:tc>
        <w:tc>
          <w:tcPr>
            <w:tcW w:w="1984" w:type="dxa"/>
            <w:shd w:val="clear" w:color="auto" w:fill="FFFFFF"/>
          </w:tcPr>
          <w:p w:rsidR="00CA489E" w:rsidRDefault="00CA489E">
            <w:pPr>
              <w:keepNext/>
              <w:spacing w:before="60" w:after="60"/>
              <w:jc w:val="center"/>
              <w:rPr>
                <w:rFonts w:ascii="Arial Narrow" w:hAnsi="Arial Narrow"/>
                <w:sz w:val="20"/>
              </w:rPr>
            </w:pPr>
            <w:r>
              <w:rPr>
                <w:rFonts w:ascii="Arial Narrow" w:hAnsi="Arial Narrow"/>
                <w:sz w:val="20"/>
              </w:rPr>
              <w:t>RCC/ACER</w:t>
            </w:r>
          </w:p>
        </w:tc>
        <w:tc>
          <w:tcPr>
            <w:tcW w:w="2501" w:type="dxa"/>
            <w:shd w:val="clear" w:color="auto" w:fill="FFFFFF"/>
          </w:tcPr>
          <w:p w:rsidR="00CA489E" w:rsidRDefault="00CA489E" w:rsidP="009F5D8E">
            <w:pPr>
              <w:keepNext/>
              <w:spacing w:before="40" w:after="40"/>
              <w:jc w:val="center"/>
              <w:rPr>
                <w:rFonts w:ascii="Arial Narrow" w:hAnsi="Arial Narrow"/>
                <w:sz w:val="20"/>
              </w:rPr>
            </w:pPr>
            <w:r>
              <w:rPr>
                <w:rFonts w:ascii="Arial Narrow" w:hAnsi="Arial Narrow"/>
                <w:sz w:val="20"/>
              </w:rPr>
              <w:t>1</w:t>
            </w:r>
            <w:r>
              <w:rPr>
                <w:rFonts w:ascii="Arial Narrow" w:hAnsi="Arial Narrow"/>
                <w:sz w:val="20"/>
                <w:vertAlign w:val="superscript"/>
              </w:rPr>
              <w:t>st</w:t>
            </w:r>
            <w:r>
              <w:rPr>
                <w:rFonts w:ascii="Arial Narrow" w:hAnsi="Arial Narrow"/>
                <w:sz w:val="20"/>
              </w:rPr>
              <w:t xml:space="preserve"> quarter </w:t>
            </w:r>
          </w:p>
        </w:tc>
      </w:tr>
      <w:tr w:rsidR="00CA489E">
        <w:trPr>
          <w:cantSplit/>
          <w:trHeight w:val="228"/>
          <w:jc w:val="center"/>
        </w:trPr>
        <w:tc>
          <w:tcPr>
            <w:tcW w:w="3922" w:type="dxa"/>
            <w:shd w:val="clear" w:color="auto" w:fill="FFFFFF"/>
          </w:tcPr>
          <w:p w:rsidR="00CA489E" w:rsidRDefault="00CA489E">
            <w:pPr>
              <w:keepNext/>
              <w:spacing w:before="60" w:after="60"/>
              <w:rPr>
                <w:rFonts w:ascii="Arial Narrow" w:hAnsi="Arial Narrow"/>
                <w:sz w:val="20"/>
              </w:rPr>
            </w:pPr>
            <w:r>
              <w:rPr>
                <w:rFonts w:ascii="Arial Narrow" w:hAnsi="Arial Narrow"/>
                <w:sz w:val="20"/>
              </w:rPr>
              <w:t>Responses to the questionnaire</w:t>
            </w:r>
          </w:p>
        </w:tc>
        <w:tc>
          <w:tcPr>
            <w:tcW w:w="1984" w:type="dxa"/>
            <w:shd w:val="clear" w:color="auto" w:fill="FFFFFF"/>
          </w:tcPr>
          <w:p w:rsidR="00CA489E" w:rsidRDefault="00CA489E">
            <w:pPr>
              <w:keepNext/>
              <w:spacing w:before="60" w:after="60"/>
              <w:jc w:val="center"/>
              <w:rPr>
                <w:rFonts w:ascii="Arial Narrow" w:hAnsi="Arial Narrow"/>
                <w:sz w:val="20"/>
              </w:rPr>
            </w:pPr>
            <w:r>
              <w:rPr>
                <w:rFonts w:ascii="Arial Narrow" w:hAnsi="Arial Narrow"/>
                <w:sz w:val="20"/>
              </w:rPr>
              <w:t>TSOs &amp; PXs</w:t>
            </w:r>
          </w:p>
        </w:tc>
        <w:tc>
          <w:tcPr>
            <w:tcW w:w="2501" w:type="dxa"/>
            <w:shd w:val="clear" w:color="auto" w:fill="FFFFFF"/>
          </w:tcPr>
          <w:p w:rsidR="00CA489E" w:rsidRDefault="00CA489E" w:rsidP="009F5D8E">
            <w:pPr>
              <w:keepNext/>
              <w:spacing w:before="40" w:after="40"/>
              <w:jc w:val="center"/>
              <w:rPr>
                <w:rFonts w:ascii="Arial Narrow" w:hAnsi="Arial Narrow"/>
                <w:sz w:val="20"/>
              </w:rPr>
            </w:pPr>
            <w:r>
              <w:rPr>
                <w:rFonts w:ascii="Arial Narrow" w:hAnsi="Arial Narrow"/>
                <w:sz w:val="20"/>
              </w:rPr>
              <w:t>2</w:t>
            </w:r>
            <w:r>
              <w:rPr>
                <w:rFonts w:ascii="Arial Narrow" w:hAnsi="Arial Narrow"/>
                <w:sz w:val="20"/>
                <w:vertAlign w:val="superscript"/>
              </w:rPr>
              <w:t>nd</w:t>
            </w:r>
            <w:r>
              <w:rPr>
                <w:rFonts w:ascii="Arial Narrow" w:hAnsi="Arial Narrow"/>
                <w:sz w:val="20"/>
              </w:rPr>
              <w:t xml:space="preserve"> quarter </w:t>
            </w:r>
          </w:p>
        </w:tc>
      </w:tr>
      <w:tr w:rsidR="00CA489E">
        <w:trPr>
          <w:cantSplit/>
          <w:trHeight w:val="228"/>
          <w:jc w:val="center"/>
        </w:trPr>
        <w:tc>
          <w:tcPr>
            <w:tcW w:w="3922" w:type="dxa"/>
            <w:shd w:val="clear" w:color="auto" w:fill="FFFFFF"/>
          </w:tcPr>
          <w:p w:rsidR="00CA489E" w:rsidRDefault="00CA489E">
            <w:pPr>
              <w:keepNext/>
              <w:spacing w:before="60" w:after="60"/>
              <w:rPr>
                <w:rFonts w:ascii="Arial Narrow" w:hAnsi="Arial Narrow"/>
                <w:sz w:val="20"/>
              </w:rPr>
            </w:pPr>
            <w:r>
              <w:rPr>
                <w:rFonts w:ascii="Arial Narrow" w:hAnsi="Arial Narrow"/>
                <w:sz w:val="20"/>
              </w:rPr>
              <w:t>First draft on main findings from computations</w:t>
            </w:r>
          </w:p>
        </w:tc>
        <w:tc>
          <w:tcPr>
            <w:tcW w:w="1984" w:type="dxa"/>
            <w:shd w:val="clear" w:color="auto" w:fill="FFFFFF"/>
          </w:tcPr>
          <w:p w:rsidR="00CA489E" w:rsidRDefault="00CA489E">
            <w:pPr>
              <w:keepNext/>
              <w:spacing w:before="60" w:after="60"/>
              <w:jc w:val="center"/>
              <w:rPr>
                <w:rFonts w:ascii="Arial Narrow" w:hAnsi="Arial Narrow"/>
                <w:sz w:val="20"/>
              </w:rPr>
            </w:pPr>
            <w:r>
              <w:rPr>
                <w:rFonts w:ascii="Arial Narrow" w:hAnsi="Arial Narrow"/>
                <w:sz w:val="20"/>
              </w:rPr>
              <w:t>RCC</w:t>
            </w:r>
          </w:p>
        </w:tc>
        <w:tc>
          <w:tcPr>
            <w:tcW w:w="2501" w:type="dxa"/>
            <w:shd w:val="clear" w:color="auto" w:fill="FFFFFF"/>
          </w:tcPr>
          <w:p w:rsidR="00CA489E" w:rsidRDefault="00CA489E" w:rsidP="009F5D8E">
            <w:pPr>
              <w:keepNext/>
              <w:spacing w:before="40" w:after="40"/>
              <w:jc w:val="center"/>
              <w:rPr>
                <w:rFonts w:ascii="Arial Narrow" w:hAnsi="Arial Narrow"/>
                <w:sz w:val="20"/>
              </w:rPr>
            </w:pPr>
            <w:r>
              <w:rPr>
                <w:rFonts w:ascii="Arial Narrow" w:hAnsi="Arial Narrow"/>
                <w:sz w:val="20"/>
              </w:rPr>
              <w:t>3</w:t>
            </w:r>
            <w:r>
              <w:rPr>
                <w:rFonts w:ascii="Arial Narrow" w:hAnsi="Arial Narrow"/>
                <w:sz w:val="20"/>
                <w:vertAlign w:val="superscript"/>
              </w:rPr>
              <w:t>rd</w:t>
            </w:r>
            <w:r>
              <w:rPr>
                <w:rFonts w:ascii="Arial Narrow" w:hAnsi="Arial Narrow"/>
                <w:sz w:val="20"/>
              </w:rPr>
              <w:t xml:space="preserve"> quarter </w:t>
            </w:r>
          </w:p>
        </w:tc>
      </w:tr>
      <w:tr w:rsidR="00CA489E">
        <w:trPr>
          <w:cantSplit/>
          <w:trHeight w:val="228"/>
          <w:jc w:val="center"/>
        </w:trPr>
        <w:tc>
          <w:tcPr>
            <w:tcW w:w="3922" w:type="dxa"/>
            <w:shd w:val="clear" w:color="auto" w:fill="FFFFFF"/>
          </w:tcPr>
          <w:p w:rsidR="00CA489E" w:rsidRDefault="00CA489E">
            <w:pPr>
              <w:keepNext/>
              <w:spacing w:before="60" w:after="60"/>
              <w:rPr>
                <w:rFonts w:ascii="Arial Narrow" w:hAnsi="Arial Narrow"/>
                <w:sz w:val="20"/>
              </w:rPr>
            </w:pPr>
            <w:r>
              <w:rPr>
                <w:rFonts w:ascii="Arial Narrow" w:hAnsi="Arial Narrow"/>
                <w:sz w:val="20"/>
              </w:rPr>
              <w:t>Public consultation</w:t>
            </w:r>
          </w:p>
        </w:tc>
        <w:tc>
          <w:tcPr>
            <w:tcW w:w="1984" w:type="dxa"/>
            <w:shd w:val="clear" w:color="auto" w:fill="FFFFFF"/>
          </w:tcPr>
          <w:p w:rsidR="00CA489E" w:rsidRDefault="00CA489E">
            <w:pPr>
              <w:keepNext/>
              <w:jc w:val="center"/>
              <w:rPr>
                <w:rFonts w:ascii="Arial Narrow" w:hAnsi="Arial Narrow"/>
                <w:sz w:val="20"/>
              </w:rPr>
            </w:pPr>
            <w:r>
              <w:rPr>
                <w:rFonts w:ascii="Arial Narrow" w:hAnsi="Arial Narrow"/>
                <w:sz w:val="20"/>
              </w:rPr>
              <w:t>Through the SG</w:t>
            </w:r>
          </w:p>
        </w:tc>
        <w:tc>
          <w:tcPr>
            <w:tcW w:w="2501" w:type="dxa"/>
            <w:shd w:val="clear" w:color="auto" w:fill="FFFFFF"/>
          </w:tcPr>
          <w:p w:rsidR="00CA489E" w:rsidRDefault="00CA489E" w:rsidP="009F5D8E">
            <w:pPr>
              <w:keepNext/>
              <w:spacing w:before="40" w:after="40"/>
              <w:jc w:val="center"/>
              <w:rPr>
                <w:rFonts w:ascii="Arial Narrow" w:hAnsi="Arial Narrow"/>
                <w:sz w:val="20"/>
              </w:rPr>
            </w:pPr>
            <w:r>
              <w:rPr>
                <w:rFonts w:ascii="Arial Narrow" w:hAnsi="Arial Narrow"/>
                <w:sz w:val="20"/>
              </w:rPr>
              <w:t>3</w:t>
            </w:r>
            <w:r>
              <w:rPr>
                <w:rFonts w:ascii="Arial Narrow" w:hAnsi="Arial Narrow"/>
                <w:sz w:val="20"/>
                <w:vertAlign w:val="superscript"/>
              </w:rPr>
              <w:t>rd</w:t>
            </w:r>
            <w:r>
              <w:rPr>
                <w:rFonts w:ascii="Arial Narrow" w:hAnsi="Arial Narrow"/>
                <w:sz w:val="20"/>
              </w:rPr>
              <w:t xml:space="preserve"> quarter </w:t>
            </w:r>
          </w:p>
        </w:tc>
      </w:tr>
      <w:tr w:rsidR="00CA489E">
        <w:trPr>
          <w:cantSplit/>
          <w:trHeight w:val="228"/>
          <w:jc w:val="center"/>
        </w:trPr>
        <w:tc>
          <w:tcPr>
            <w:tcW w:w="3922" w:type="dxa"/>
            <w:shd w:val="clear" w:color="auto" w:fill="FFFFFF"/>
          </w:tcPr>
          <w:p w:rsidR="00CA489E" w:rsidRDefault="00CA489E">
            <w:pPr>
              <w:keepNext/>
              <w:spacing w:before="40" w:after="40"/>
              <w:rPr>
                <w:rFonts w:ascii="Arial Narrow" w:hAnsi="Arial Narrow"/>
                <w:sz w:val="20"/>
              </w:rPr>
            </w:pPr>
            <w:r>
              <w:rPr>
                <w:rFonts w:ascii="Arial Narrow" w:hAnsi="Arial Narrow"/>
                <w:sz w:val="20"/>
              </w:rPr>
              <w:t>Conclusions from the public consultation</w:t>
            </w:r>
          </w:p>
        </w:tc>
        <w:tc>
          <w:tcPr>
            <w:tcW w:w="1984" w:type="dxa"/>
            <w:shd w:val="clear" w:color="auto" w:fill="FFFFFF"/>
          </w:tcPr>
          <w:p w:rsidR="00CA489E" w:rsidRDefault="00CA489E">
            <w:pPr>
              <w:keepNext/>
              <w:tabs>
                <w:tab w:val="left" w:pos="1680"/>
              </w:tabs>
              <w:spacing w:before="40" w:after="40"/>
              <w:jc w:val="center"/>
              <w:rPr>
                <w:rFonts w:ascii="Arial Narrow" w:hAnsi="Arial Narrow"/>
                <w:sz w:val="20"/>
              </w:rPr>
            </w:pPr>
            <w:r>
              <w:rPr>
                <w:rFonts w:ascii="Arial Narrow" w:hAnsi="Arial Narrow"/>
                <w:sz w:val="20"/>
              </w:rPr>
              <w:t>RCC</w:t>
            </w:r>
          </w:p>
        </w:tc>
        <w:tc>
          <w:tcPr>
            <w:tcW w:w="2501" w:type="dxa"/>
            <w:shd w:val="clear" w:color="auto" w:fill="FFFFFF"/>
          </w:tcPr>
          <w:p w:rsidR="00CA489E" w:rsidRDefault="00CA489E" w:rsidP="009F5D8E">
            <w:pPr>
              <w:keepNext/>
              <w:spacing w:before="40" w:after="40"/>
              <w:jc w:val="center"/>
              <w:rPr>
                <w:rFonts w:ascii="Arial Narrow" w:hAnsi="Arial Narrow"/>
                <w:sz w:val="20"/>
              </w:rPr>
            </w:pPr>
            <w:r>
              <w:rPr>
                <w:rFonts w:ascii="Arial Narrow" w:hAnsi="Arial Narrow"/>
                <w:sz w:val="20"/>
              </w:rPr>
              <w:t>4</w:t>
            </w:r>
            <w:r>
              <w:rPr>
                <w:rFonts w:ascii="Arial Narrow" w:hAnsi="Arial Narrow"/>
                <w:sz w:val="20"/>
                <w:vertAlign w:val="superscript"/>
              </w:rPr>
              <w:t>th</w:t>
            </w:r>
            <w:r>
              <w:rPr>
                <w:rFonts w:ascii="Arial Narrow" w:hAnsi="Arial Narrow"/>
                <w:sz w:val="20"/>
              </w:rPr>
              <w:t xml:space="preserve"> quarter </w:t>
            </w:r>
          </w:p>
        </w:tc>
      </w:tr>
      <w:tr w:rsidR="00CA489E">
        <w:trPr>
          <w:cantSplit/>
          <w:trHeight w:val="228"/>
          <w:jc w:val="center"/>
        </w:trPr>
        <w:tc>
          <w:tcPr>
            <w:tcW w:w="3922" w:type="dxa"/>
            <w:shd w:val="clear" w:color="auto" w:fill="FFFFFF"/>
          </w:tcPr>
          <w:p w:rsidR="00CA489E" w:rsidRDefault="00CA489E">
            <w:pPr>
              <w:keepNext/>
              <w:spacing w:before="40" w:after="40"/>
              <w:rPr>
                <w:rFonts w:ascii="Arial Narrow" w:hAnsi="Arial Narrow"/>
                <w:sz w:val="20"/>
              </w:rPr>
            </w:pPr>
            <w:r>
              <w:rPr>
                <w:rFonts w:ascii="Arial Narrow" w:hAnsi="Arial Narrow"/>
                <w:sz w:val="20"/>
              </w:rPr>
              <w:t>Presentation to the SG</w:t>
            </w:r>
          </w:p>
        </w:tc>
        <w:tc>
          <w:tcPr>
            <w:tcW w:w="1984" w:type="dxa"/>
            <w:shd w:val="clear" w:color="auto" w:fill="FFFFFF"/>
          </w:tcPr>
          <w:p w:rsidR="00CA489E" w:rsidRDefault="00CA489E">
            <w:pPr>
              <w:keepNext/>
              <w:tabs>
                <w:tab w:val="left" w:pos="1680"/>
              </w:tabs>
              <w:spacing w:before="40" w:after="40"/>
              <w:jc w:val="center"/>
              <w:rPr>
                <w:rFonts w:ascii="Arial Narrow" w:hAnsi="Arial Narrow"/>
                <w:sz w:val="20"/>
              </w:rPr>
            </w:pPr>
            <w:r>
              <w:rPr>
                <w:rFonts w:ascii="Arial Narrow" w:hAnsi="Arial Narrow"/>
                <w:sz w:val="20"/>
              </w:rPr>
              <w:t>RCC</w:t>
            </w:r>
          </w:p>
        </w:tc>
        <w:tc>
          <w:tcPr>
            <w:tcW w:w="2501" w:type="dxa"/>
            <w:shd w:val="clear" w:color="auto" w:fill="FFFFFF"/>
          </w:tcPr>
          <w:p w:rsidR="00CA489E" w:rsidRDefault="00CA489E" w:rsidP="009F5D8E">
            <w:pPr>
              <w:keepNext/>
              <w:spacing w:before="40" w:after="40"/>
              <w:jc w:val="center"/>
              <w:rPr>
                <w:rFonts w:ascii="Arial Narrow" w:hAnsi="Arial Narrow"/>
                <w:sz w:val="20"/>
              </w:rPr>
            </w:pPr>
            <w:r>
              <w:rPr>
                <w:rFonts w:ascii="Arial Narrow" w:hAnsi="Arial Narrow"/>
                <w:sz w:val="20"/>
              </w:rPr>
              <w:t>4</w:t>
            </w:r>
            <w:r>
              <w:rPr>
                <w:rFonts w:ascii="Arial Narrow" w:hAnsi="Arial Narrow"/>
                <w:sz w:val="20"/>
                <w:vertAlign w:val="superscript"/>
              </w:rPr>
              <w:t>th</w:t>
            </w:r>
            <w:r>
              <w:rPr>
                <w:rFonts w:ascii="Arial Narrow" w:hAnsi="Arial Narrow"/>
                <w:sz w:val="20"/>
              </w:rPr>
              <w:t xml:space="preserve"> quarter </w:t>
            </w:r>
          </w:p>
        </w:tc>
      </w:tr>
    </w:tbl>
    <w:p w:rsidR="00CA489E" w:rsidRDefault="00CA489E">
      <w:r>
        <w:t xml:space="preserve"> </w:t>
      </w:r>
    </w:p>
    <w:p w:rsidR="00CA489E" w:rsidRDefault="00CA489E"/>
    <w:p w:rsidR="00CA489E" w:rsidRDefault="00CA489E"/>
    <w:p w:rsidR="00CA489E" w:rsidRDefault="00CA489E"/>
    <w:sectPr w:rsidR="00CA489E" w:rsidSect="006B0A0E">
      <w:headerReference w:type="even" r:id="rId13"/>
      <w:headerReference w:type="default" r:id="rId14"/>
      <w:pgSz w:w="11906" w:h="16838" w:code="9"/>
      <w:pgMar w:top="1701" w:right="1134" w:bottom="1701" w:left="1418" w:header="709" w:footer="709" w:gutter="284"/>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939" w:rsidRDefault="00800939">
      <w:pPr>
        <w:pStyle w:val="Piedepgina"/>
      </w:pPr>
    </w:p>
    <w:p w:rsidR="00800939" w:rsidRDefault="00800939"/>
    <w:p w:rsidR="00800939" w:rsidRDefault="00800939"/>
    <w:p w:rsidR="00800939" w:rsidRDefault="00800939"/>
  </w:endnote>
  <w:endnote w:type="continuationSeparator" w:id="0">
    <w:p w:rsidR="00800939" w:rsidRDefault="00800939">
      <w:r>
        <w:continuationSeparator/>
      </w:r>
    </w:p>
    <w:p w:rsidR="00800939" w:rsidRDefault="00800939"/>
    <w:p w:rsidR="00800939" w:rsidRDefault="00800939"/>
    <w:p w:rsidR="00800939" w:rsidRDefault="0080093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39" w:rsidRDefault="00822AF7">
    <w:r>
      <w:fldChar w:fldCharType="begin"/>
    </w:r>
    <w:r w:rsidR="00800939">
      <w:instrText xml:space="preserve">PAGE  </w:instrText>
    </w:r>
    <w:r>
      <w:fldChar w:fldCharType="end"/>
    </w:r>
  </w:p>
  <w:p w:rsidR="00800939" w:rsidRDefault="00800939"/>
  <w:p w:rsidR="00800939" w:rsidRDefault="0080093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39" w:rsidRDefault="00800939">
    <w:pPr>
      <w:pStyle w:val="Piedepgina"/>
      <w:rPr>
        <w:noProof/>
        <w:color w:val="336699"/>
        <w:sz w:val="18"/>
      </w:rPr>
    </w:pPr>
  </w:p>
  <w:p w:rsidR="00800939" w:rsidRDefault="00800939">
    <w:pPr>
      <w:pStyle w:val="Piedepgina"/>
      <w:rPr>
        <w:noProof/>
        <w:color w:val="336699"/>
        <w:sz w:val="18"/>
      </w:rPr>
    </w:pPr>
  </w:p>
  <w:p w:rsidR="00800939" w:rsidRDefault="00822AF7">
    <w:pPr>
      <w:pStyle w:val="Piedepgina"/>
      <w:pBdr>
        <w:top w:val="single" w:sz="4" w:space="8" w:color="336699"/>
      </w:pBdr>
      <w:jc w:val="center"/>
      <w:rPr>
        <w:sz w:val="18"/>
        <w:szCs w:val="18"/>
      </w:rPr>
    </w:pPr>
    <w:r>
      <w:rPr>
        <w:noProof/>
        <w:sz w:val="18"/>
        <w:szCs w:val="18"/>
      </w:rPr>
      <w:fldChar w:fldCharType="begin"/>
    </w:r>
    <w:r w:rsidR="00800939">
      <w:rPr>
        <w:noProof/>
        <w:sz w:val="18"/>
        <w:szCs w:val="18"/>
      </w:rPr>
      <w:instrText xml:space="preserve"> PAGE </w:instrText>
    </w:r>
    <w:r>
      <w:rPr>
        <w:noProof/>
        <w:sz w:val="18"/>
        <w:szCs w:val="18"/>
      </w:rPr>
      <w:fldChar w:fldCharType="separate"/>
    </w:r>
    <w:r w:rsidR="00D9153F">
      <w:rPr>
        <w:noProof/>
        <w:sz w:val="18"/>
        <w:szCs w:val="18"/>
      </w:rPr>
      <w:t>20</w:t>
    </w:r>
    <w:r>
      <w:rPr>
        <w:noProof/>
        <w:sz w:val="18"/>
        <w:szCs w:val="18"/>
      </w:rPr>
      <w:fldChar w:fldCharType="end"/>
    </w:r>
    <w:r w:rsidR="00800939">
      <w:rPr>
        <w:noProof/>
        <w:sz w:val="18"/>
        <w:szCs w:val="18"/>
      </w:rPr>
      <w:t>/</w:t>
    </w:r>
    <w:r>
      <w:rPr>
        <w:noProof/>
        <w:sz w:val="18"/>
        <w:szCs w:val="18"/>
      </w:rPr>
      <w:fldChar w:fldCharType="begin"/>
    </w:r>
    <w:r w:rsidR="00800939">
      <w:rPr>
        <w:noProof/>
        <w:sz w:val="18"/>
        <w:szCs w:val="18"/>
      </w:rPr>
      <w:instrText xml:space="preserve"> NUMPAGES </w:instrText>
    </w:r>
    <w:r>
      <w:rPr>
        <w:noProof/>
        <w:sz w:val="18"/>
        <w:szCs w:val="18"/>
      </w:rPr>
      <w:fldChar w:fldCharType="separate"/>
    </w:r>
    <w:r w:rsidR="00D9153F">
      <w:rPr>
        <w:noProof/>
        <w:sz w:val="18"/>
        <w:szCs w:val="18"/>
      </w:rPr>
      <w:t>22</w:t>
    </w:r>
    <w:r>
      <w:rPr>
        <w:noProof/>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39" w:rsidRDefault="00800939" w:rsidP="00152E10">
    <w:pPr>
      <w:pStyle w:val="Corpo"/>
      <w:pBdr>
        <w:top w:val="none" w:sz="0" w:space="0" w:color="auto"/>
      </w:pBdr>
      <w:spacing w:before="0" w:line="240" w:lineRule="auto"/>
      <w:rPr>
        <w:szCs w:val="18"/>
        <w:lang w:val="fr-FR"/>
      </w:rPr>
    </w:pPr>
  </w:p>
  <w:p w:rsidR="00800939" w:rsidRDefault="00800939" w:rsidP="00152E10">
    <w:pPr>
      <w:pStyle w:val="Text"/>
      <w:rPr>
        <w:lang w:val="fr-FR" w:eastAsia="en-US"/>
      </w:rPr>
    </w:pPr>
  </w:p>
  <w:p w:rsidR="00800939" w:rsidRDefault="00800939" w:rsidP="00152E10">
    <w:pPr>
      <w:pStyle w:val="Text"/>
      <w:rPr>
        <w:lang w:val="fr-FR" w:eastAsia="en-US"/>
      </w:rPr>
    </w:pPr>
  </w:p>
  <w:p w:rsidR="00800939" w:rsidRPr="00152E10" w:rsidRDefault="00800939" w:rsidP="00152E10">
    <w:pPr>
      <w:pStyle w:val="Text"/>
      <w:rPr>
        <w:lang w:val="fr-FR"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939" w:rsidRDefault="00800939">
      <w:r>
        <w:separator/>
      </w:r>
    </w:p>
    <w:p w:rsidR="00800939" w:rsidRDefault="00800939"/>
  </w:footnote>
  <w:footnote w:type="continuationSeparator" w:id="0">
    <w:p w:rsidR="00800939" w:rsidRDefault="00800939">
      <w:r>
        <w:continuationSeparator/>
      </w:r>
    </w:p>
    <w:p w:rsidR="00800939" w:rsidRDefault="00800939"/>
  </w:footnote>
  <w:footnote w:type="continuationNotice" w:id="1">
    <w:p w:rsidR="00800939" w:rsidRDefault="00800939"/>
    <w:p w:rsidR="00800939" w:rsidRDefault="00800939"/>
  </w:footnote>
  <w:footnote w:id="2">
    <w:p w:rsidR="00800939" w:rsidRDefault="00800939" w:rsidP="005E1539">
      <w:pPr>
        <w:pStyle w:val="Textonotapie"/>
      </w:pPr>
      <w:r>
        <w:rPr>
          <w:rStyle w:val="Refdenotaalpie"/>
          <w:sz w:val="22"/>
        </w:rPr>
        <w:footnoteRef/>
      </w:r>
      <w:r>
        <w:t xml:space="preserve"> </w:t>
      </w:r>
      <w:hyperlink r:id="rId1" w:history="1">
        <w:r>
          <w:rPr>
            <w:rStyle w:val="Hipervnculo"/>
          </w:rPr>
          <w:t>http://www.entsoe.eu/fileadmin/user_upload/_library/publications/ce/otherreports/tdp09_report_ucte.pdf</w:t>
        </w:r>
      </w:hyperlink>
    </w:p>
  </w:footnote>
  <w:footnote w:id="3">
    <w:p w:rsidR="00800939" w:rsidRDefault="00800939" w:rsidP="005E1539">
      <w:pPr>
        <w:pStyle w:val="Textonotapie"/>
      </w:pPr>
      <w:r>
        <w:rPr>
          <w:rStyle w:val="Refdenotaalpie"/>
          <w:sz w:val="22"/>
        </w:rPr>
        <w:footnoteRef/>
      </w:r>
      <w:r>
        <w:t xml:space="preserve"> </w:t>
      </w:r>
      <w:hyperlink r:id="rId2" w:history="1">
        <w:r>
          <w:rPr>
            <w:rStyle w:val="Hipervnculo"/>
          </w:rPr>
          <w:t>http://www.energy-regulators.eu/portal/page/portal/EER_HOME/EER_INITIATIVES/ERI/South-West/Public_consultations/CD</w:t>
        </w:r>
      </w:hyperlink>
      <w:r>
        <w:t xml:space="preserve"> </w:t>
      </w:r>
    </w:p>
  </w:footnote>
  <w:footnote w:id="4">
    <w:p w:rsidR="00800939" w:rsidRDefault="00800939" w:rsidP="005E1539">
      <w:pPr>
        <w:pStyle w:val="Textonotapie"/>
      </w:pPr>
      <w:r>
        <w:rPr>
          <w:rStyle w:val="Refdenotaalpie"/>
          <w:sz w:val="22"/>
        </w:rPr>
        <w:footnoteRef/>
      </w:r>
      <w:r>
        <w:t xml:space="preserve"> </w:t>
      </w:r>
      <w:hyperlink r:id="rId3" w:history="1">
        <w:r>
          <w:rPr>
            <w:rStyle w:val="Hipervnculo"/>
          </w:rPr>
          <w:t>http://static.epexspot.com/document/5683/20091005_EPEX_PCR.pdf</w:t>
        </w:r>
      </w:hyperlink>
    </w:p>
  </w:footnote>
  <w:footnote w:id="5">
    <w:p w:rsidR="00800939" w:rsidRDefault="00800939" w:rsidP="005E1539">
      <w:pPr>
        <w:pStyle w:val="Textonotapie"/>
      </w:pPr>
      <w:r>
        <w:rPr>
          <w:rStyle w:val="Refdenotaalpie"/>
          <w:sz w:val="22"/>
        </w:rPr>
        <w:footnoteRef/>
      </w:r>
      <w:r>
        <w:t xml:space="preserve"> </w:t>
      </w:r>
      <w:hyperlink r:id="rId4" w:history="1">
        <w:r>
          <w:rPr>
            <w:rStyle w:val="Hipervnculo"/>
          </w:rPr>
          <w:t>http://www.energy-regulators.eu/portal/page/portal/EER_HOME/EER_INITIATIVES/ERI/South-West/Meetings1/IG_meetings/5supthsup%20SW%20IG/DD/02_20090527%205th%20IG_SWE%20OMEL_EPEX%20MC_v3.pdf</w:t>
        </w:r>
      </w:hyperlink>
    </w:p>
  </w:footnote>
  <w:footnote w:id="6">
    <w:p w:rsidR="00800939" w:rsidRDefault="00800939" w:rsidP="005E1539">
      <w:pPr>
        <w:pStyle w:val="Textonotapie"/>
      </w:pPr>
      <w:r>
        <w:rPr>
          <w:rStyle w:val="Refdenotaalpie"/>
          <w:sz w:val="22"/>
        </w:rPr>
        <w:footnoteRef/>
      </w:r>
      <w:r>
        <w:t xml:space="preserve"> </w:t>
      </w:r>
      <w:hyperlink r:id="rId5" w:history="1">
        <w:r>
          <w:rPr>
            <w:rStyle w:val="Hipervnculo"/>
          </w:rPr>
          <w:t>http://www.energy-regulators.eu/portal/page/portal/EER_HOME/EER_INITIATIVES/ERI/South-West/Meetings1/IG_meetings/5supthsup%20SW%20IG/DD/05_5th%20IG%20Point%205%20-%20X-border%20access%20to%20balancing%20markets.pdf</w:t>
        </w:r>
      </w:hyperlink>
    </w:p>
  </w:footnote>
  <w:footnote w:id="7">
    <w:p w:rsidR="00800939" w:rsidRDefault="00800939" w:rsidP="005E1539">
      <w:pPr>
        <w:pStyle w:val="Textonotapie"/>
      </w:pPr>
      <w:r>
        <w:rPr>
          <w:rStyle w:val="Refdenotaalpie"/>
          <w:sz w:val="22"/>
        </w:rPr>
        <w:footnoteRef/>
      </w:r>
      <w:r>
        <w:t xml:space="preserve"> </w:t>
      </w:r>
      <w:hyperlink r:id="rId6" w:history="1">
        <w:r>
          <w:rPr>
            <w:rStyle w:val="Hipervnculo"/>
          </w:rPr>
          <w:t>http://www.energy-regulators.eu/portal/page/portal/EER_HOME/EER_INITIATIVES/ERI/South-West/Meetings1/IG_meetings/2supndsup%20SW%20IG/AD/080128_Conclusions_2nd_IG_Meeting_SW_REM_v5%20clean.pdf</w:t>
        </w:r>
      </w:hyperlink>
    </w:p>
  </w:footnote>
  <w:footnote w:id="8">
    <w:p w:rsidR="00800939" w:rsidRDefault="00800939">
      <w:pPr>
        <w:pStyle w:val="Textonotapie"/>
      </w:pPr>
      <w:r>
        <w:rPr>
          <w:rStyle w:val="Refdenotaalpie"/>
        </w:rPr>
        <w:footnoteRef/>
      </w:r>
      <w:r w:rsidRPr="007D7E1C">
        <w:t>http://www.acer.europa.eu/portal/page/portal/ACER_HOME/Activities/Regional_Initiatives/Electricity_Regional_Initiatives/PROJECTS</w:t>
      </w:r>
      <w:r>
        <w:t xml:space="preserve">. </w:t>
      </w:r>
    </w:p>
    <w:p w:rsidR="00800939" w:rsidRDefault="00800939">
      <w:pPr>
        <w:pStyle w:val="Textonotapie"/>
      </w:pPr>
      <w:r>
        <w:tab/>
        <w:t>In case of inconsistency, first the FG CACM and then the cross-regional roadmaps will prevail over the regional Work Plans.</w:t>
      </w:r>
    </w:p>
  </w:footnote>
  <w:footnote w:id="9">
    <w:p w:rsidR="00800939" w:rsidRDefault="00800939">
      <w:pPr>
        <w:pStyle w:val="Textonotapie"/>
      </w:pPr>
      <w:r>
        <w:rPr>
          <w:rStyle w:val="Refdenotaalpie"/>
          <w:sz w:val="22"/>
        </w:rPr>
        <w:footnoteRef/>
      </w:r>
      <w:r>
        <w:t xml:space="preserve"> </w:t>
      </w:r>
      <w:r w:rsidRPr="00C44544">
        <w:t>That report is available in the websites of the authorities composing the CR MIBEL.</w:t>
      </w:r>
    </w:p>
  </w:footnote>
  <w:footnote w:id="10">
    <w:p w:rsidR="00800939" w:rsidRDefault="00800939" w:rsidP="00E3566E">
      <w:pPr>
        <w:pStyle w:val="Textonotapie"/>
      </w:pPr>
      <w:r>
        <w:rPr>
          <w:rStyle w:val="Refdenotaalpie"/>
          <w:sz w:val="22"/>
        </w:rPr>
        <w:footnoteRef/>
      </w:r>
      <w:r>
        <w:t xml:space="preserve"> Regulation (EC) No 714/2009 of the European parliament and of the council of 13 July 2009 on conditions for  access to the network for cross-border exchanges in electricity and repealing Regulation (EC) No 1228/2003</w:t>
      </w:r>
    </w:p>
  </w:footnote>
  <w:footnote w:id="11">
    <w:p w:rsidR="00800939" w:rsidRDefault="00800939" w:rsidP="00E3566E">
      <w:pPr>
        <w:pStyle w:val="Textonotapie"/>
      </w:pPr>
      <w:r>
        <w:rPr>
          <w:rStyle w:val="Refdenotaalpie"/>
          <w:sz w:val="22"/>
        </w:rPr>
        <w:footnoteRef/>
      </w:r>
      <w:r>
        <w:t xml:space="preserve"> Guidelines on Good Practice on Information Management and Transparency in Electricity Markets, ERGEG document Ref.: E05-EMK-06-10, as of 2 august 2006.</w:t>
      </w:r>
    </w:p>
  </w:footnote>
  <w:footnote w:id="12">
    <w:p w:rsidR="00800939" w:rsidRDefault="00800939">
      <w:pPr>
        <w:pStyle w:val="Textonotapie"/>
      </w:pPr>
      <w:r>
        <w:rPr>
          <w:rStyle w:val="Refdenotaalpie"/>
          <w:sz w:val="22"/>
        </w:rPr>
        <w:footnoteRef/>
      </w:r>
      <w:r>
        <w:t xml:space="preserve"> </w:t>
      </w:r>
      <w:hyperlink r:id="rId7" w:history="1">
        <w:r w:rsidRPr="008369A9">
          <w:rPr>
            <w:rStyle w:val="Hipervnculo"/>
          </w:rPr>
          <w:t>http://www.energy-regulators.eu/portal/page/portal/EER_HOME/EER_INITIATIVES/ERI/South-West/Final%20docs</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39" w:rsidRDefault="00800939">
    <w:pPr>
      <w:rPr>
        <w:noProof/>
        <w:color w:val="336699"/>
        <w:sz w:val="18"/>
      </w:rPr>
    </w:pPr>
    <w:r>
      <w:rPr>
        <w:noProof/>
        <w:lang w:val="es-ES" w:eastAsia="es-ES"/>
      </w:rPr>
      <w:drawing>
        <wp:anchor distT="0" distB="0" distL="114300" distR="114300" simplePos="0" relativeHeight="251660288" behindDoc="0" locked="0" layoutInCell="1" allowOverlap="0">
          <wp:simplePos x="0" y="0"/>
          <wp:positionH relativeFrom="column">
            <wp:posOffset>-28575</wp:posOffset>
          </wp:positionH>
          <wp:positionV relativeFrom="paragraph">
            <wp:posOffset>1270</wp:posOffset>
          </wp:positionV>
          <wp:extent cx="1102360" cy="539115"/>
          <wp:effectExtent l="19050" t="0" r="2540" b="0"/>
          <wp:wrapSquare wrapText="bothSides"/>
          <wp:docPr id="1" name="Imagen 1" descr="logo_ceer_1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ceer_1_S"/>
                  <pic:cNvPicPr>
                    <a:picLocks noChangeAspect="1" noChangeArrowheads="1"/>
                  </pic:cNvPicPr>
                </pic:nvPicPr>
                <pic:blipFill>
                  <a:blip r:embed="rId1"/>
                  <a:srcRect/>
                  <a:stretch>
                    <a:fillRect/>
                  </a:stretch>
                </pic:blipFill>
                <pic:spPr bwMode="auto">
                  <a:xfrm>
                    <a:off x="0" y="0"/>
                    <a:ext cx="1102360" cy="539115"/>
                  </a:xfrm>
                  <a:prstGeom prst="rect">
                    <a:avLst/>
                  </a:prstGeom>
                  <a:noFill/>
                </pic:spPr>
              </pic:pic>
            </a:graphicData>
          </a:graphic>
        </wp:anchor>
      </w:drawing>
    </w:r>
  </w:p>
  <w:p w:rsidR="00800939" w:rsidRDefault="00800939">
    <w:pPr>
      <w:rPr>
        <w:noProof/>
      </w:rPr>
    </w:pPr>
    <w:r>
      <w:rPr>
        <w:noProof/>
      </w:rPr>
      <w:t>Ref: CYY-[WG-TF]-##-##</w:t>
    </w:r>
  </w:p>
  <w:p w:rsidR="00800939" w:rsidRDefault="00800939">
    <w:pPr>
      <w:rPr>
        <w:noProof/>
      </w:rPr>
    </w:pPr>
    <w:r>
      <w:rPr>
        <w:noProof/>
      </w:rPr>
      <w:t>[Report Name]</w:t>
    </w:r>
  </w:p>
  <w:p w:rsidR="00800939" w:rsidRDefault="00800939"/>
  <w:p w:rsidR="00800939" w:rsidRDefault="0080093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39" w:rsidRDefault="00800939" w:rsidP="00463D35">
    <w:pPr>
      <w:pStyle w:val="Encabezado"/>
      <w:rPr>
        <w:lang w:val="de-DE" w:eastAsia="it-IT"/>
      </w:rPr>
    </w:pPr>
  </w:p>
  <w:p w:rsidR="00800939" w:rsidRDefault="00800939" w:rsidP="00AF2211">
    <w:pPr>
      <w:pStyle w:val="Encabezado"/>
      <w:jc w:val="center"/>
      <w:rPr>
        <w:lang w:val="de-DE" w:eastAsia="it-IT"/>
      </w:rPr>
    </w:pPr>
    <w:r>
      <w:rPr>
        <w:noProof/>
        <w:lang w:val="es-ES" w:eastAsia="es-ES"/>
      </w:rPr>
      <w:drawing>
        <wp:inline distT="0" distB="0" distL="0" distR="0">
          <wp:extent cx="1504950" cy="676275"/>
          <wp:effectExtent l="19050" t="0" r="0" b="0"/>
          <wp:docPr id="3" name="Imagen 1" descr="AC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CER-Logo"/>
                  <pic:cNvPicPr>
                    <a:picLocks noChangeAspect="1" noChangeArrowheads="1"/>
                  </pic:cNvPicPr>
                </pic:nvPicPr>
                <pic:blipFill>
                  <a:blip r:embed="rId1"/>
                  <a:srcRect/>
                  <a:stretch>
                    <a:fillRect/>
                  </a:stretch>
                </pic:blipFill>
                <pic:spPr bwMode="auto">
                  <a:xfrm>
                    <a:off x="0" y="0"/>
                    <a:ext cx="1504950" cy="676275"/>
                  </a:xfrm>
                  <a:prstGeom prst="rect">
                    <a:avLst/>
                  </a:prstGeom>
                  <a:noFill/>
                  <a:ln w="9525">
                    <a:noFill/>
                    <a:miter lim="800000"/>
                    <a:headEnd/>
                    <a:tailEnd/>
                  </a:ln>
                </pic:spPr>
              </pic:pic>
            </a:graphicData>
          </a:graphic>
        </wp:inline>
      </w:drawing>
    </w:r>
  </w:p>
  <w:p w:rsidR="00800939" w:rsidRDefault="00800939" w:rsidP="00463D35">
    <w:pPr>
      <w:pStyle w:val="Encabezado"/>
      <w:rPr>
        <w:lang w:val="de-DE" w:eastAsia="it-I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39" w:rsidRDefault="0080093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39" w:rsidRDefault="00800939" w:rsidP="00463D35">
    <w:pPr>
      <w:pStyle w:val="Encabezado"/>
    </w:pPr>
  </w:p>
  <w:p w:rsidR="00800939" w:rsidRDefault="00800939" w:rsidP="00463D35">
    <w:pPr>
      <w:pStyle w:val="Encabezado"/>
    </w:pPr>
  </w:p>
  <w:p w:rsidR="00800939" w:rsidRDefault="00800939" w:rsidP="00463D35">
    <w:pPr>
      <w:pStyle w:val="Encabezado"/>
      <w:jc w:val="left"/>
    </w:pPr>
    <w:r>
      <w:rPr>
        <w:noProof/>
        <w:lang w:val="es-ES" w:eastAsia="es-ES"/>
      </w:rPr>
      <w:drawing>
        <wp:inline distT="0" distB="0" distL="0" distR="0">
          <wp:extent cx="1504950" cy="676275"/>
          <wp:effectExtent l="19050" t="0" r="0" b="0"/>
          <wp:docPr id="4" name="Imagen 3" descr="AC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CER-Logo"/>
                  <pic:cNvPicPr>
                    <a:picLocks noChangeAspect="1" noChangeArrowheads="1"/>
                  </pic:cNvPicPr>
                </pic:nvPicPr>
                <pic:blipFill>
                  <a:blip r:embed="rId1"/>
                  <a:srcRect/>
                  <a:stretch>
                    <a:fillRect/>
                  </a:stretch>
                </pic:blipFill>
                <pic:spPr bwMode="auto">
                  <a:xfrm>
                    <a:off x="0" y="0"/>
                    <a:ext cx="1504950" cy="676275"/>
                  </a:xfrm>
                  <a:prstGeom prst="rect">
                    <a:avLst/>
                  </a:prstGeom>
                  <a:noFill/>
                  <a:ln w="9525">
                    <a:noFill/>
                    <a:miter lim="800000"/>
                    <a:headEnd/>
                    <a:tailEnd/>
                  </a:ln>
                </pic:spPr>
              </pic:pic>
            </a:graphicData>
          </a:graphic>
        </wp:inline>
      </w:drawing>
    </w:r>
    <w:r>
      <w:tab/>
    </w:r>
    <w:r>
      <w:tab/>
    </w:r>
    <w:r>
      <w:tab/>
    </w:r>
    <w:r>
      <w:tab/>
    </w:r>
    <w:r>
      <w:tab/>
    </w:r>
    <w:r>
      <w:tab/>
      <w:t xml:space="preserve">  </w:t>
    </w:r>
    <w:r>
      <w:tab/>
    </w:r>
  </w:p>
  <w:p w:rsidR="00800939" w:rsidRDefault="00800939" w:rsidP="00463D35">
    <w:pPr>
      <w:pStyle w:val="Encabezado"/>
      <w:rPr>
        <w:lang w:val="de-DE"/>
      </w:rPr>
    </w:pPr>
    <w:r w:rsidRPr="00357FB6">
      <w:t xml:space="preserve">SW region of the ERI. </w:t>
    </w:r>
    <w:r>
      <w:rPr>
        <w:lang w:val="de-DE"/>
      </w:rPr>
      <w:t>Work Plan 2011-2014</w:t>
    </w:r>
  </w:p>
  <w:p w:rsidR="00800939" w:rsidRDefault="00800939">
    <w:pPr>
      <w:rPr>
        <w:lang w:val="de-DE"/>
      </w:rPr>
    </w:pPr>
  </w:p>
  <w:p w:rsidR="00800939" w:rsidRDefault="00800939">
    <w:pPr>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941"/>
    <w:multiLevelType w:val="hybridMultilevel"/>
    <w:tmpl w:val="E63887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6C01CE"/>
    <w:multiLevelType w:val="hybridMultilevel"/>
    <w:tmpl w:val="B4A6E0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87202F"/>
    <w:multiLevelType w:val="hybridMultilevel"/>
    <w:tmpl w:val="A4FAAE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CE42A9"/>
    <w:multiLevelType w:val="hybridMultilevel"/>
    <w:tmpl w:val="FE98C1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B62B88"/>
    <w:multiLevelType w:val="hybridMultilevel"/>
    <w:tmpl w:val="8452CD06"/>
    <w:lvl w:ilvl="0" w:tplc="0C0A0001">
      <w:start w:val="1"/>
      <w:numFmt w:val="bullet"/>
      <w:lvlText w:val=""/>
      <w:lvlJc w:val="left"/>
      <w:pPr>
        <w:ind w:left="720" w:hanging="360"/>
      </w:pPr>
      <w:rPr>
        <w:rFonts w:ascii="Symbol" w:hAnsi="Symbol" w:hint="default"/>
      </w:rPr>
    </w:lvl>
    <w:lvl w:ilvl="1" w:tplc="BC1C2416">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0D14EC"/>
    <w:multiLevelType w:val="hybridMultilevel"/>
    <w:tmpl w:val="89784976"/>
    <w:lvl w:ilvl="0" w:tplc="0C0A0001">
      <w:start w:val="1"/>
      <w:numFmt w:val="bullet"/>
      <w:lvlText w:val=""/>
      <w:lvlJc w:val="left"/>
      <w:pPr>
        <w:ind w:left="720" w:hanging="360"/>
      </w:pPr>
      <w:rPr>
        <w:rFonts w:ascii="Symbol" w:hAnsi="Symbol" w:hint="default"/>
      </w:rPr>
    </w:lvl>
    <w:lvl w:ilvl="1" w:tplc="BC1C2416">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FB013F6"/>
    <w:multiLevelType w:val="hybridMultilevel"/>
    <w:tmpl w:val="D34CBD86"/>
    <w:lvl w:ilvl="0" w:tplc="6BD2BB4A">
      <w:start w:val="10"/>
      <w:numFmt w:val="bullet"/>
      <w:lvlText w:val="•"/>
      <w:lvlJc w:val="left"/>
      <w:pPr>
        <w:ind w:left="1065" w:hanging="705"/>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B20845"/>
    <w:multiLevelType w:val="hybridMultilevel"/>
    <w:tmpl w:val="D60E6FA2"/>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08F4CE7"/>
    <w:multiLevelType w:val="multilevel"/>
    <w:tmpl w:val="C3B0DA46"/>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EC56DE3"/>
    <w:multiLevelType w:val="hybridMultilevel"/>
    <w:tmpl w:val="B622B3BC"/>
    <w:lvl w:ilvl="0" w:tplc="CF80112C">
      <w:start w:val="1"/>
      <w:numFmt w:val="bullet"/>
      <w:lvlText w:val="."/>
      <w:lvlJc w:val="left"/>
      <w:pPr>
        <w:tabs>
          <w:tab w:val="num" w:pos="360"/>
        </w:tabs>
        <w:ind w:left="360" w:hanging="360"/>
      </w:pPr>
      <w:rPr>
        <w:rFonts w:ascii="Trebuchet MS" w:hAnsi="Trebuchet MS" w:hint="default"/>
      </w:rPr>
    </w:lvl>
    <w:lvl w:ilvl="1" w:tplc="32569C16">
      <w:start w:val="1"/>
      <w:numFmt w:val="bullet"/>
      <w:lvlText w:val="."/>
      <w:lvlJc w:val="left"/>
      <w:pPr>
        <w:tabs>
          <w:tab w:val="num" w:pos="1080"/>
        </w:tabs>
        <w:ind w:left="1080" w:hanging="360"/>
      </w:pPr>
      <w:rPr>
        <w:rFonts w:ascii="Trebuchet MS" w:hAnsi="Trebuchet MS" w:hint="default"/>
      </w:rPr>
    </w:lvl>
    <w:lvl w:ilvl="2" w:tplc="7B028284">
      <w:start w:val="1"/>
      <w:numFmt w:val="bullet"/>
      <w:lvlText w:val="."/>
      <w:lvlJc w:val="left"/>
      <w:pPr>
        <w:tabs>
          <w:tab w:val="num" w:pos="1800"/>
        </w:tabs>
        <w:ind w:left="1800" w:hanging="360"/>
      </w:pPr>
      <w:rPr>
        <w:rFonts w:ascii="Trebuchet MS" w:hAnsi="Trebuchet MS" w:hint="default"/>
      </w:rPr>
    </w:lvl>
    <w:lvl w:ilvl="3" w:tplc="7180AA70">
      <w:start w:val="1251"/>
      <w:numFmt w:val="bullet"/>
      <w:lvlText w:val=""/>
      <w:lvlJc w:val="left"/>
      <w:pPr>
        <w:tabs>
          <w:tab w:val="num" w:pos="2520"/>
        </w:tabs>
        <w:ind w:left="2520" w:hanging="360"/>
      </w:pPr>
      <w:rPr>
        <w:rFonts w:ascii="Arial" w:hAnsi="Arial" w:hint="default"/>
      </w:rPr>
    </w:lvl>
    <w:lvl w:ilvl="4" w:tplc="1E0E409C" w:tentative="1">
      <w:start w:val="1"/>
      <w:numFmt w:val="bullet"/>
      <w:lvlText w:val="."/>
      <w:lvlJc w:val="left"/>
      <w:pPr>
        <w:tabs>
          <w:tab w:val="num" w:pos="3240"/>
        </w:tabs>
        <w:ind w:left="3240" w:hanging="360"/>
      </w:pPr>
      <w:rPr>
        <w:rFonts w:ascii="Trebuchet MS" w:hAnsi="Trebuchet MS" w:hint="default"/>
      </w:rPr>
    </w:lvl>
    <w:lvl w:ilvl="5" w:tplc="EDB030DA" w:tentative="1">
      <w:start w:val="1"/>
      <w:numFmt w:val="bullet"/>
      <w:lvlText w:val="."/>
      <w:lvlJc w:val="left"/>
      <w:pPr>
        <w:tabs>
          <w:tab w:val="num" w:pos="3960"/>
        </w:tabs>
        <w:ind w:left="3960" w:hanging="360"/>
      </w:pPr>
      <w:rPr>
        <w:rFonts w:ascii="Trebuchet MS" w:hAnsi="Trebuchet MS" w:hint="default"/>
      </w:rPr>
    </w:lvl>
    <w:lvl w:ilvl="6" w:tplc="9BF6D904" w:tentative="1">
      <w:start w:val="1"/>
      <w:numFmt w:val="bullet"/>
      <w:lvlText w:val="."/>
      <w:lvlJc w:val="left"/>
      <w:pPr>
        <w:tabs>
          <w:tab w:val="num" w:pos="4680"/>
        </w:tabs>
        <w:ind w:left="4680" w:hanging="360"/>
      </w:pPr>
      <w:rPr>
        <w:rFonts w:ascii="Trebuchet MS" w:hAnsi="Trebuchet MS" w:hint="default"/>
      </w:rPr>
    </w:lvl>
    <w:lvl w:ilvl="7" w:tplc="E66EC68A" w:tentative="1">
      <w:start w:val="1"/>
      <w:numFmt w:val="bullet"/>
      <w:lvlText w:val="."/>
      <w:lvlJc w:val="left"/>
      <w:pPr>
        <w:tabs>
          <w:tab w:val="num" w:pos="5400"/>
        </w:tabs>
        <w:ind w:left="5400" w:hanging="360"/>
      </w:pPr>
      <w:rPr>
        <w:rFonts w:ascii="Trebuchet MS" w:hAnsi="Trebuchet MS" w:hint="default"/>
      </w:rPr>
    </w:lvl>
    <w:lvl w:ilvl="8" w:tplc="1E9A7052" w:tentative="1">
      <w:start w:val="1"/>
      <w:numFmt w:val="bullet"/>
      <w:lvlText w:val="."/>
      <w:lvlJc w:val="left"/>
      <w:pPr>
        <w:tabs>
          <w:tab w:val="num" w:pos="6120"/>
        </w:tabs>
        <w:ind w:left="6120" w:hanging="360"/>
      </w:pPr>
      <w:rPr>
        <w:rFonts w:ascii="Trebuchet MS" w:hAnsi="Trebuchet MS" w:hint="default"/>
      </w:rPr>
    </w:lvl>
  </w:abstractNum>
  <w:abstractNum w:abstractNumId="10">
    <w:nsid w:val="2FA9162B"/>
    <w:multiLevelType w:val="hybridMultilevel"/>
    <w:tmpl w:val="97AE5596"/>
    <w:lvl w:ilvl="0" w:tplc="8E32A95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1C74FE3"/>
    <w:multiLevelType w:val="multilevel"/>
    <w:tmpl w:val="BDC003F0"/>
    <w:lvl w:ilvl="0">
      <w:start w:val="1"/>
      <w:numFmt w:val="decimal"/>
      <w:pStyle w:val="Ttulo1"/>
      <w:lvlText w:val="%1"/>
      <w:lvlJc w:val="left"/>
      <w:pPr>
        <w:tabs>
          <w:tab w:val="num" w:pos="567"/>
        </w:tabs>
        <w:ind w:left="567" w:hanging="567"/>
      </w:pPr>
      <w:rPr>
        <w:rFonts w:cs="Times New Roman" w:hint="default"/>
      </w:rPr>
    </w:lvl>
    <w:lvl w:ilvl="1">
      <w:start w:val="1"/>
      <w:numFmt w:val="decimal"/>
      <w:pStyle w:val="Ttulo2"/>
      <w:lvlText w:val="%1.%2"/>
      <w:lvlJc w:val="left"/>
      <w:pPr>
        <w:tabs>
          <w:tab w:val="num" w:pos="1134"/>
        </w:tabs>
        <w:ind w:left="1134" w:hanging="1134"/>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12">
    <w:nsid w:val="3BA27068"/>
    <w:multiLevelType w:val="hybridMultilevel"/>
    <w:tmpl w:val="47D647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C402FED"/>
    <w:multiLevelType w:val="hybridMultilevel"/>
    <w:tmpl w:val="C644A0B6"/>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46433113"/>
    <w:multiLevelType w:val="hybridMultilevel"/>
    <w:tmpl w:val="5824E658"/>
    <w:lvl w:ilvl="0" w:tplc="36E8F0DE">
      <w:start w:val="1"/>
      <w:numFmt w:val="bullet"/>
      <w:lvlText w:val=""/>
      <w:lvlJc w:val="left"/>
      <w:pPr>
        <w:tabs>
          <w:tab w:val="num" w:pos="360"/>
        </w:tabs>
        <w:ind w:left="360" w:hanging="360"/>
      </w:pPr>
      <w:rPr>
        <w:rFonts w:ascii="Symbol" w:hAnsi="Symbol" w:hint="default"/>
        <w:color w:val="auto"/>
        <w:sz w:val="22"/>
      </w:rPr>
    </w:lvl>
    <w:lvl w:ilvl="1" w:tplc="8E32A95A">
      <w:numFmt w:val="bullet"/>
      <w:lvlText w:val="-"/>
      <w:lvlJc w:val="left"/>
      <w:pPr>
        <w:tabs>
          <w:tab w:val="num" w:pos="1440"/>
        </w:tabs>
        <w:ind w:left="1440" w:hanging="360"/>
      </w:pPr>
      <w:rPr>
        <w:rFonts w:ascii="Arial" w:eastAsia="Times New Roman" w:hAnsi="Aria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CE54B0"/>
    <w:multiLevelType w:val="multilevel"/>
    <w:tmpl w:val="A126A4B6"/>
    <w:lvl w:ilvl="0">
      <w:start w:val="1"/>
      <w:numFmt w:val="none"/>
      <w:pStyle w:val="Title-0"/>
      <w:lvlText w:val=""/>
      <w:lvlJc w:val="left"/>
      <w:pPr>
        <w:tabs>
          <w:tab w:val="num" w:pos="0"/>
        </w:tabs>
      </w:pPr>
      <w:rPr>
        <w:rFonts w:cs="Times New Roman" w:hint="default"/>
      </w:rPr>
    </w:lvl>
    <w:lvl w:ilvl="1">
      <w:start w:val="1"/>
      <w:numFmt w:val="decimal"/>
      <w:pStyle w:val="Title-1"/>
      <w:lvlText w:val="%2."/>
      <w:lvlJc w:val="left"/>
      <w:pPr>
        <w:tabs>
          <w:tab w:val="num" w:pos="397"/>
        </w:tabs>
        <w:ind w:left="397" w:hanging="397"/>
      </w:pPr>
      <w:rPr>
        <w:rFonts w:cs="Times New Roman" w:hint="default"/>
      </w:rPr>
    </w:lvl>
    <w:lvl w:ilvl="2">
      <w:start w:val="1"/>
      <w:numFmt w:val="decimal"/>
      <w:pStyle w:val="Title-2"/>
      <w:lvlText w:val="%2.%3."/>
      <w:lvlJc w:val="left"/>
      <w:pPr>
        <w:tabs>
          <w:tab w:val="num" w:pos="567"/>
        </w:tabs>
        <w:ind w:left="567" w:hanging="567"/>
      </w:pPr>
      <w:rPr>
        <w:rFonts w:cs="Times New Roman" w:hint="default"/>
      </w:rPr>
    </w:lvl>
    <w:lvl w:ilvl="3">
      <w:start w:val="1"/>
      <w:numFmt w:val="decimal"/>
      <w:pStyle w:val="Title-3"/>
      <w:lvlText w:val="%2.%3.%4."/>
      <w:lvlJc w:val="left"/>
      <w:pPr>
        <w:tabs>
          <w:tab w:val="num" w:pos="737"/>
        </w:tabs>
        <w:ind w:left="737" w:hanging="737"/>
      </w:pPr>
      <w:rPr>
        <w:rFonts w:cs="Times New Roman" w:hint="default"/>
      </w:rPr>
    </w:lvl>
    <w:lvl w:ilvl="4">
      <w:start w:val="1"/>
      <w:numFmt w:val="decimal"/>
      <w:pStyle w:val="Title-4"/>
      <w:lvlText w:val="%2.%3.%4.%5."/>
      <w:lvlJc w:val="left"/>
      <w:pPr>
        <w:tabs>
          <w:tab w:val="num" w:pos="907"/>
        </w:tabs>
        <w:ind w:left="907" w:hanging="907"/>
      </w:pPr>
      <w:rPr>
        <w:rFonts w:cs="Times New Roman" w:hint="default"/>
      </w:rPr>
    </w:lvl>
    <w:lvl w:ilvl="5">
      <w:start w:val="1"/>
      <w:numFmt w:val="decimal"/>
      <w:lvlText w:val="%2.%3.%4.%5.%6."/>
      <w:lvlJc w:val="left"/>
      <w:pPr>
        <w:tabs>
          <w:tab w:val="num" w:pos="2904"/>
        </w:tabs>
        <w:ind w:left="2400" w:hanging="936"/>
      </w:pPr>
      <w:rPr>
        <w:rFonts w:cs="Times New Roman" w:hint="default"/>
      </w:rPr>
    </w:lvl>
    <w:lvl w:ilvl="6">
      <w:start w:val="1"/>
      <w:numFmt w:val="decimal"/>
      <w:lvlText w:val="%2.%3.%4.%5.%6.%7."/>
      <w:lvlJc w:val="left"/>
      <w:pPr>
        <w:tabs>
          <w:tab w:val="num" w:pos="3264"/>
        </w:tabs>
        <w:ind w:left="2904" w:hanging="1080"/>
      </w:pPr>
      <w:rPr>
        <w:rFonts w:cs="Times New Roman" w:hint="default"/>
      </w:rPr>
    </w:lvl>
    <w:lvl w:ilvl="7">
      <w:start w:val="1"/>
      <w:numFmt w:val="decimal"/>
      <w:lvlText w:val="%2.%3.%4.%5.%6.%7.%8."/>
      <w:lvlJc w:val="left"/>
      <w:pPr>
        <w:tabs>
          <w:tab w:val="num" w:pos="3984"/>
        </w:tabs>
        <w:ind w:left="3408" w:hanging="1224"/>
      </w:pPr>
      <w:rPr>
        <w:rFonts w:cs="Times New Roman" w:hint="default"/>
      </w:rPr>
    </w:lvl>
    <w:lvl w:ilvl="8">
      <w:start w:val="1"/>
      <w:numFmt w:val="decimal"/>
      <w:lvlText w:val="%2.%3.%4.%5.%6.%7.%8.%9."/>
      <w:lvlJc w:val="left"/>
      <w:pPr>
        <w:tabs>
          <w:tab w:val="num" w:pos="4344"/>
        </w:tabs>
        <w:ind w:left="3984" w:hanging="1440"/>
      </w:pPr>
      <w:rPr>
        <w:rFonts w:cs="Times New Roman" w:hint="default"/>
      </w:rPr>
    </w:lvl>
  </w:abstractNum>
  <w:abstractNum w:abstractNumId="16">
    <w:nsid w:val="491914B6"/>
    <w:multiLevelType w:val="hybridMultilevel"/>
    <w:tmpl w:val="91F4A3B0"/>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BAF3A97"/>
    <w:multiLevelType w:val="hybridMultilevel"/>
    <w:tmpl w:val="EB5A6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07C5FC5"/>
    <w:multiLevelType w:val="hybridMultilevel"/>
    <w:tmpl w:val="20CED7AA"/>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rPr>
        <w:rFonts w:cs="Times New Roman" w:hint="default"/>
      </w:rPr>
    </w:lvl>
    <w:lvl w:ilvl="2" w:tplc="1F3A66D6">
      <w:start w:val="10"/>
      <w:numFmt w:val="bullet"/>
      <w:lvlText w:val="-"/>
      <w:lvlJc w:val="left"/>
      <w:pPr>
        <w:ind w:left="2160" w:hanging="360"/>
      </w:pPr>
      <w:rPr>
        <w:rFonts w:ascii="Arial" w:eastAsia="Times New Roman" w:hAnsi="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0B73896"/>
    <w:multiLevelType w:val="hybridMultilevel"/>
    <w:tmpl w:val="2D268584"/>
    <w:lvl w:ilvl="0" w:tplc="8E32A95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0E94D9C"/>
    <w:multiLevelType w:val="hybridMultilevel"/>
    <w:tmpl w:val="1C508B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7B21DD6"/>
    <w:multiLevelType w:val="hybridMultilevel"/>
    <w:tmpl w:val="C8A611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C2A0D24"/>
    <w:multiLevelType w:val="hybridMultilevel"/>
    <w:tmpl w:val="BC0801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11F3D08"/>
    <w:multiLevelType w:val="hybridMultilevel"/>
    <w:tmpl w:val="0E145EA6"/>
    <w:lvl w:ilvl="0" w:tplc="B03A581E">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9D7E8D"/>
    <w:multiLevelType w:val="multilevel"/>
    <w:tmpl w:val="0BB45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1E96778"/>
    <w:multiLevelType w:val="hybridMultilevel"/>
    <w:tmpl w:val="B2946494"/>
    <w:lvl w:ilvl="0" w:tplc="8E32A95A">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5564FB7"/>
    <w:multiLevelType w:val="hybridMultilevel"/>
    <w:tmpl w:val="2BAA948E"/>
    <w:lvl w:ilvl="0" w:tplc="131EA3F8">
      <w:start w:val="1"/>
      <w:numFmt w:val="decimal"/>
      <w:lvlText w:val="%1."/>
      <w:lvlJc w:val="left"/>
      <w:pPr>
        <w:tabs>
          <w:tab w:val="num" w:pos="360"/>
        </w:tabs>
        <w:ind w:left="360" w:hanging="360"/>
      </w:pPr>
      <w:rPr>
        <w:rFonts w:cs="Times New Roman"/>
        <w:b w:val="0"/>
        <w:bCs/>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7016059"/>
    <w:multiLevelType w:val="hybridMultilevel"/>
    <w:tmpl w:val="0BB45F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8">
    <w:nsid w:val="68DF0432"/>
    <w:multiLevelType w:val="hybridMultilevel"/>
    <w:tmpl w:val="AC468E9A"/>
    <w:lvl w:ilvl="0" w:tplc="6BD2BB4A">
      <w:start w:val="10"/>
      <w:numFmt w:val="bullet"/>
      <w:lvlText w:val="•"/>
      <w:lvlJc w:val="left"/>
      <w:pPr>
        <w:ind w:left="1065" w:hanging="705"/>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B3D4A81"/>
    <w:multiLevelType w:val="hybridMultilevel"/>
    <w:tmpl w:val="143A668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3166A8E"/>
    <w:multiLevelType w:val="hybridMultilevel"/>
    <w:tmpl w:val="2B664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3CB0610"/>
    <w:multiLevelType w:val="hybridMultilevel"/>
    <w:tmpl w:val="7C7E61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84D70EC"/>
    <w:multiLevelType w:val="hybridMultilevel"/>
    <w:tmpl w:val="DE4459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5"/>
  </w:num>
  <w:num w:numId="2">
    <w:abstractNumId w:val="8"/>
  </w:num>
  <w:num w:numId="3">
    <w:abstractNumId w:val="26"/>
  </w:num>
  <w:num w:numId="4">
    <w:abstractNumId w:val="14"/>
  </w:num>
  <w:num w:numId="5">
    <w:abstractNumId w:val="11"/>
  </w:num>
  <w:num w:numId="6">
    <w:abstractNumId w:val="23"/>
  </w:num>
  <w:num w:numId="7">
    <w:abstractNumId w:val="18"/>
  </w:num>
  <w:num w:numId="8">
    <w:abstractNumId w:val="7"/>
  </w:num>
  <w:num w:numId="9">
    <w:abstractNumId w:val="29"/>
  </w:num>
  <w:num w:numId="10">
    <w:abstractNumId w:val="16"/>
  </w:num>
  <w:num w:numId="11">
    <w:abstractNumId w:val="25"/>
  </w:num>
  <w:num w:numId="12">
    <w:abstractNumId w:val="10"/>
  </w:num>
  <w:num w:numId="13">
    <w:abstractNumId w:val="19"/>
  </w:num>
  <w:num w:numId="14">
    <w:abstractNumId w:val="11"/>
  </w:num>
  <w:num w:numId="15">
    <w:abstractNumId w:val="31"/>
  </w:num>
  <w:num w:numId="16">
    <w:abstractNumId w:val="3"/>
  </w:num>
  <w:num w:numId="17">
    <w:abstractNumId w:val="22"/>
  </w:num>
  <w:num w:numId="18">
    <w:abstractNumId w:val="27"/>
  </w:num>
  <w:num w:numId="19">
    <w:abstractNumId w:val="24"/>
  </w:num>
  <w:num w:numId="20">
    <w:abstractNumId w:val="32"/>
  </w:num>
  <w:num w:numId="21">
    <w:abstractNumId w:val="13"/>
  </w:num>
  <w:num w:numId="22">
    <w:abstractNumId w:val="12"/>
  </w:num>
  <w:num w:numId="23">
    <w:abstractNumId w:val="11"/>
  </w:num>
  <w:num w:numId="24">
    <w:abstractNumId w:val="0"/>
  </w:num>
  <w:num w:numId="25">
    <w:abstractNumId w:val="21"/>
  </w:num>
  <w:num w:numId="26">
    <w:abstractNumId w:val="2"/>
  </w:num>
  <w:num w:numId="27">
    <w:abstractNumId w:val="17"/>
  </w:num>
  <w:num w:numId="28">
    <w:abstractNumId w:val="28"/>
  </w:num>
  <w:num w:numId="29">
    <w:abstractNumId w:val="6"/>
  </w:num>
  <w:num w:numId="30">
    <w:abstractNumId w:val="1"/>
  </w:num>
  <w:num w:numId="31">
    <w:abstractNumId w:val="30"/>
  </w:num>
  <w:num w:numId="32">
    <w:abstractNumId w:val="9"/>
  </w:num>
  <w:num w:numId="33">
    <w:abstractNumId w:val="20"/>
  </w:num>
  <w:num w:numId="34">
    <w:abstractNumId w:val="5"/>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efaultTabStop w:val="709"/>
  <w:hyphenationZone w:val="425"/>
  <w:drawingGridHorizontalSpacing w:val="57"/>
  <w:drawingGridVerticalSpacing w:val="57"/>
  <w:noPunctuationKerning/>
  <w:characterSpacingControl w:val="doNotCompress"/>
  <w:hdrShapeDefaults>
    <o:shapedefaults v:ext="edit" spidmax="6145"/>
  </w:hdrShapeDefaults>
  <w:footnotePr>
    <w:footnote w:id="-1"/>
    <w:footnote w:id="0"/>
    <w:footnote w:id="1"/>
  </w:footnotePr>
  <w:endnotePr>
    <w:endnote w:id="-1"/>
    <w:endnote w:id="0"/>
  </w:endnotePr>
  <w:compat/>
  <w:rsids>
    <w:rsidRoot w:val="00067EB0"/>
    <w:rsid w:val="00005643"/>
    <w:rsid w:val="00031CE9"/>
    <w:rsid w:val="00034489"/>
    <w:rsid w:val="0005477A"/>
    <w:rsid w:val="00067EB0"/>
    <w:rsid w:val="000A26DF"/>
    <w:rsid w:val="000A7B4B"/>
    <w:rsid w:val="000F4579"/>
    <w:rsid w:val="000F7460"/>
    <w:rsid w:val="0010139C"/>
    <w:rsid w:val="001046E9"/>
    <w:rsid w:val="001065EB"/>
    <w:rsid w:val="0010796D"/>
    <w:rsid w:val="001208D2"/>
    <w:rsid w:val="00134836"/>
    <w:rsid w:val="00135ECB"/>
    <w:rsid w:val="00140BA8"/>
    <w:rsid w:val="001436A3"/>
    <w:rsid w:val="00152E10"/>
    <w:rsid w:val="00161DD8"/>
    <w:rsid w:val="00162315"/>
    <w:rsid w:val="001643DB"/>
    <w:rsid w:val="0017758A"/>
    <w:rsid w:val="001864E5"/>
    <w:rsid w:val="00195EE9"/>
    <w:rsid w:val="0019778B"/>
    <w:rsid w:val="001A674D"/>
    <w:rsid w:val="001B02C0"/>
    <w:rsid w:val="001B0E03"/>
    <w:rsid w:val="001D2AB9"/>
    <w:rsid w:val="001D69FB"/>
    <w:rsid w:val="001E4440"/>
    <w:rsid w:val="001F38A1"/>
    <w:rsid w:val="001F62CF"/>
    <w:rsid w:val="00202B4B"/>
    <w:rsid w:val="002068F7"/>
    <w:rsid w:val="00221A05"/>
    <w:rsid w:val="00234145"/>
    <w:rsid w:val="0025091B"/>
    <w:rsid w:val="002541AD"/>
    <w:rsid w:val="00255CE1"/>
    <w:rsid w:val="002601A5"/>
    <w:rsid w:val="00264861"/>
    <w:rsid w:val="00264E69"/>
    <w:rsid w:val="00266C00"/>
    <w:rsid w:val="002703DE"/>
    <w:rsid w:val="00275447"/>
    <w:rsid w:val="0027626C"/>
    <w:rsid w:val="002913CE"/>
    <w:rsid w:val="00296AAA"/>
    <w:rsid w:val="002A2B4E"/>
    <w:rsid w:val="002A4697"/>
    <w:rsid w:val="002B63F1"/>
    <w:rsid w:val="002C65D1"/>
    <w:rsid w:val="002C6CB5"/>
    <w:rsid w:val="002C7D92"/>
    <w:rsid w:val="002D0191"/>
    <w:rsid w:val="002E2933"/>
    <w:rsid w:val="002E6BF1"/>
    <w:rsid w:val="00300A81"/>
    <w:rsid w:val="003055ED"/>
    <w:rsid w:val="0031457F"/>
    <w:rsid w:val="003177BA"/>
    <w:rsid w:val="00344597"/>
    <w:rsid w:val="00345930"/>
    <w:rsid w:val="00357C6B"/>
    <w:rsid w:val="00357FB6"/>
    <w:rsid w:val="00362442"/>
    <w:rsid w:val="003743C8"/>
    <w:rsid w:val="003A42B2"/>
    <w:rsid w:val="003C6DE4"/>
    <w:rsid w:val="003E5E89"/>
    <w:rsid w:val="003F0A62"/>
    <w:rsid w:val="00400A09"/>
    <w:rsid w:val="00400BC5"/>
    <w:rsid w:val="00404BF7"/>
    <w:rsid w:val="00414A77"/>
    <w:rsid w:val="00437CDF"/>
    <w:rsid w:val="00461E7F"/>
    <w:rsid w:val="00463A77"/>
    <w:rsid w:val="00463D35"/>
    <w:rsid w:val="00476DBF"/>
    <w:rsid w:val="00483B3C"/>
    <w:rsid w:val="00484233"/>
    <w:rsid w:val="00496196"/>
    <w:rsid w:val="00497637"/>
    <w:rsid w:val="004A514A"/>
    <w:rsid w:val="004B719F"/>
    <w:rsid w:val="004C2BA2"/>
    <w:rsid w:val="004F6499"/>
    <w:rsid w:val="005007CB"/>
    <w:rsid w:val="00527787"/>
    <w:rsid w:val="005324EC"/>
    <w:rsid w:val="00555BCC"/>
    <w:rsid w:val="0056550E"/>
    <w:rsid w:val="00583EF3"/>
    <w:rsid w:val="00587A7B"/>
    <w:rsid w:val="00590527"/>
    <w:rsid w:val="005A36F2"/>
    <w:rsid w:val="005C03D2"/>
    <w:rsid w:val="005C4C43"/>
    <w:rsid w:val="005D129B"/>
    <w:rsid w:val="005D21B0"/>
    <w:rsid w:val="005E1539"/>
    <w:rsid w:val="005E1625"/>
    <w:rsid w:val="005E3E62"/>
    <w:rsid w:val="005F57CB"/>
    <w:rsid w:val="0061140E"/>
    <w:rsid w:val="006119B7"/>
    <w:rsid w:val="006233D6"/>
    <w:rsid w:val="00623A85"/>
    <w:rsid w:val="006276C2"/>
    <w:rsid w:val="0065133B"/>
    <w:rsid w:val="00656847"/>
    <w:rsid w:val="006744A6"/>
    <w:rsid w:val="00680484"/>
    <w:rsid w:val="00681422"/>
    <w:rsid w:val="00693F88"/>
    <w:rsid w:val="006A0CDE"/>
    <w:rsid w:val="006A1FBA"/>
    <w:rsid w:val="006A6CCD"/>
    <w:rsid w:val="006B0A0E"/>
    <w:rsid w:val="006C394D"/>
    <w:rsid w:val="006D0BA8"/>
    <w:rsid w:val="006D56FF"/>
    <w:rsid w:val="006F1D94"/>
    <w:rsid w:val="006F5AE9"/>
    <w:rsid w:val="007011AB"/>
    <w:rsid w:val="0071149B"/>
    <w:rsid w:val="007121A5"/>
    <w:rsid w:val="00713B9A"/>
    <w:rsid w:val="00717FF0"/>
    <w:rsid w:val="0072488E"/>
    <w:rsid w:val="00740B99"/>
    <w:rsid w:val="007439AC"/>
    <w:rsid w:val="007444FB"/>
    <w:rsid w:val="0075205F"/>
    <w:rsid w:val="00773D8E"/>
    <w:rsid w:val="00786539"/>
    <w:rsid w:val="0078720E"/>
    <w:rsid w:val="007909EB"/>
    <w:rsid w:val="00793E6B"/>
    <w:rsid w:val="007A2690"/>
    <w:rsid w:val="007A5F3B"/>
    <w:rsid w:val="007C3C08"/>
    <w:rsid w:val="007C5341"/>
    <w:rsid w:val="007D7B09"/>
    <w:rsid w:val="007D7E1C"/>
    <w:rsid w:val="007F04F8"/>
    <w:rsid w:val="007F4E9A"/>
    <w:rsid w:val="007F743D"/>
    <w:rsid w:val="00800939"/>
    <w:rsid w:val="008102BB"/>
    <w:rsid w:val="00811AF1"/>
    <w:rsid w:val="00821A34"/>
    <w:rsid w:val="00822AF7"/>
    <w:rsid w:val="0083051C"/>
    <w:rsid w:val="00830D53"/>
    <w:rsid w:val="008337EA"/>
    <w:rsid w:val="00833E48"/>
    <w:rsid w:val="008369A9"/>
    <w:rsid w:val="00881550"/>
    <w:rsid w:val="00893E76"/>
    <w:rsid w:val="00895B21"/>
    <w:rsid w:val="008A3654"/>
    <w:rsid w:val="008B21B6"/>
    <w:rsid w:val="008D3732"/>
    <w:rsid w:val="008D4BF1"/>
    <w:rsid w:val="008F0EB5"/>
    <w:rsid w:val="008F5309"/>
    <w:rsid w:val="008F76D7"/>
    <w:rsid w:val="00907435"/>
    <w:rsid w:val="00907757"/>
    <w:rsid w:val="009329A5"/>
    <w:rsid w:val="00933B13"/>
    <w:rsid w:val="00935FAD"/>
    <w:rsid w:val="00943444"/>
    <w:rsid w:val="00953B44"/>
    <w:rsid w:val="0095688E"/>
    <w:rsid w:val="0096587E"/>
    <w:rsid w:val="009679CC"/>
    <w:rsid w:val="00982625"/>
    <w:rsid w:val="009A1E88"/>
    <w:rsid w:val="009C0D97"/>
    <w:rsid w:val="009C6BA4"/>
    <w:rsid w:val="009E2B53"/>
    <w:rsid w:val="009E63E3"/>
    <w:rsid w:val="009F5D8E"/>
    <w:rsid w:val="00A12EF9"/>
    <w:rsid w:val="00A26976"/>
    <w:rsid w:val="00A51D59"/>
    <w:rsid w:val="00A579CD"/>
    <w:rsid w:val="00A64F22"/>
    <w:rsid w:val="00A776CC"/>
    <w:rsid w:val="00AB316C"/>
    <w:rsid w:val="00AB6B2F"/>
    <w:rsid w:val="00AE4070"/>
    <w:rsid w:val="00AE526C"/>
    <w:rsid w:val="00AE6B25"/>
    <w:rsid w:val="00AF2211"/>
    <w:rsid w:val="00AF3C3D"/>
    <w:rsid w:val="00AF4BBE"/>
    <w:rsid w:val="00B06AE6"/>
    <w:rsid w:val="00B1125A"/>
    <w:rsid w:val="00B11EC0"/>
    <w:rsid w:val="00B148A2"/>
    <w:rsid w:val="00B152C5"/>
    <w:rsid w:val="00B15FD2"/>
    <w:rsid w:val="00B235FC"/>
    <w:rsid w:val="00B33A3B"/>
    <w:rsid w:val="00B34B0E"/>
    <w:rsid w:val="00B370C6"/>
    <w:rsid w:val="00B4620B"/>
    <w:rsid w:val="00B469FF"/>
    <w:rsid w:val="00B519D4"/>
    <w:rsid w:val="00B55DF9"/>
    <w:rsid w:val="00B55EBC"/>
    <w:rsid w:val="00B63290"/>
    <w:rsid w:val="00B6561C"/>
    <w:rsid w:val="00B65925"/>
    <w:rsid w:val="00B72A95"/>
    <w:rsid w:val="00B8112A"/>
    <w:rsid w:val="00B86D05"/>
    <w:rsid w:val="00B959EE"/>
    <w:rsid w:val="00BA0EEC"/>
    <w:rsid w:val="00BA2240"/>
    <w:rsid w:val="00BB26F4"/>
    <w:rsid w:val="00BC55D3"/>
    <w:rsid w:val="00BD6CAF"/>
    <w:rsid w:val="00C065BA"/>
    <w:rsid w:val="00C2165A"/>
    <w:rsid w:val="00C30E47"/>
    <w:rsid w:val="00C343E5"/>
    <w:rsid w:val="00C44544"/>
    <w:rsid w:val="00C60FF4"/>
    <w:rsid w:val="00C63CF1"/>
    <w:rsid w:val="00C64AF8"/>
    <w:rsid w:val="00C76445"/>
    <w:rsid w:val="00C803A6"/>
    <w:rsid w:val="00C81F1A"/>
    <w:rsid w:val="00C86670"/>
    <w:rsid w:val="00C938E8"/>
    <w:rsid w:val="00CA489E"/>
    <w:rsid w:val="00CB12E2"/>
    <w:rsid w:val="00CB2274"/>
    <w:rsid w:val="00CD3230"/>
    <w:rsid w:val="00CD5CDF"/>
    <w:rsid w:val="00CE68D1"/>
    <w:rsid w:val="00D01BFB"/>
    <w:rsid w:val="00D064AC"/>
    <w:rsid w:val="00D16F6D"/>
    <w:rsid w:val="00D2157D"/>
    <w:rsid w:val="00D225B5"/>
    <w:rsid w:val="00D245C2"/>
    <w:rsid w:val="00D56EF8"/>
    <w:rsid w:val="00D60D3D"/>
    <w:rsid w:val="00D731AB"/>
    <w:rsid w:val="00D802E8"/>
    <w:rsid w:val="00D8273C"/>
    <w:rsid w:val="00D9153F"/>
    <w:rsid w:val="00D97F8B"/>
    <w:rsid w:val="00DA1400"/>
    <w:rsid w:val="00DB3A41"/>
    <w:rsid w:val="00DC14A0"/>
    <w:rsid w:val="00DC53C3"/>
    <w:rsid w:val="00DE1A1C"/>
    <w:rsid w:val="00DF13AF"/>
    <w:rsid w:val="00DF7F8D"/>
    <w:rsid w:val="00E00D0F"/>
    <w:rsid w:val="00E20C24"/>
    <w:rsid w:val="00E3566E"/>
    <w:rsid w:val="00E64CE0"/>
    <w:rsid w:val="00E83AB7"/>
    <w:rsid w:val="00EC2A16"/>
    <w:rsid w:val="00EC2B5E"/>
    <w:rsid w:val="00ED4B38"/>
    <w:rsid w:val="00ED6A75"/>
    <w:rsid w:val="00ED7F08"/>
    <w:rsid w:val="00EE574C"/>
    <w:rsid w:val="00EF007B"/>
    <w:rsid w:val="00EF0DA4"/>
    <w:rsid w:val="00EF128A"/>
    <w:rsid w:val="00F11BF4"/>
    <w:rsid w:val="00F15848"/>
    <w:rsid w:val="00F17C0E"/>
    <w:rsid w:val="00F241D6"/>
    <w:rsid w:val="00F255E9"/>
    <w:rsid w:val="00F314B7"/>
    <w:rsid w:val="00F33B21"/>
    <w:rsid w:val="00F519AC"/>
    <w:rsid w:val="00F623CE"/>
    <w:rsid w:val="00F74597"/>
    <w:rsid w:val="00F759B9"/>
    <w:rsid w:val="00F91B57"/>
    <w:rsid w:val="00F94B6F"/>
    <w:rsid w:val="00F95C02"/>
    <w:rsid w:val="00FB6775"/>
    <w:rsid w:val="00FC3E27"/>
    <w:rsid w:val="00FD0ACC"/>
    <w:rsid w:val="00FF4F39"/>
    <w:rsid w:val="00FF5B71"/>
    <w:rsid w:val="00FF62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B0A0E"/>
    <w:pPr>
      <w:keepLines/>
      <w:jc w:val="both"/>
    </w:pPr>
    <w:rPr>
      <w:rFonts w:ascii="Arial" w:hAnsi="Arial"/>
      <w:bCs/>
      <w:szCs w:val="20"/>
      <w:lang w:val="en-GB" w:eastAsia="de-DE"/>
    </w:rPr>
  </w:style>
  <w:style w:type="paragraph" w:styleId="Ttulo1">
    <w:name w:val="heading 1"/>
    <w:basedOn w:val="Normal"/>
    <w:next w:val="Normal"/>
    <w:link w:val="Ttulo1Car"/>
    <w:uiPriority w:val="99"/>
    <w:qFormat/>
    <w:rsid w:val="006B0A0E"/>
    <w:pPr>
      <w:keepNext/>
      <w:numPr>
        <w:numId w:val="5"/>
      </w:numPr>
      <w:outlineLvl w:val="0"/>
    </w:pPr>
    <w:rPr>
      <w:rFonts w:cs="Arial"/>
      <w:b/>
      <w:bCs w:val="0"/>
      <w:kern w:val="32"/>
      <w:sz w:val="24"/>
      <w:szCs w:val="32"/>
    </w:rPr>
  </w:style>
  <w:style w:type="paragraph" w:styleId="Ttulo2">
    <w:name w:val="heading 2"/>
    <w:basedOn w:val="Normal"/>
    <w:next w:val="Normal"/>
    <w:link w:val="Ttulo2Car1"/>
    <w:uiPriority w:val="99"/>
    <w:qFormat/>
    <w:rsid w:val="006B0A0E"/>
    <w:pPr>
      <w:keepNext/>
      <w:numPr>
        <w:ilvl w:val="1"/>
        <w:numId w:val="5"/>
      </w:numPr>
      <w:outlineLvl w:val="1"/>
    </w:pPr>
    <w:rPr>
      <w:rFonts w:cs="Arial"/>
      <w:b/>
      <w:bCs w:val="0"/>
      <w:iCs/>
      <w:sz w:val="24"/>
      <w:szCs w:val="28"/>
    </w:rPr>
  </w:style>
  <w:style w:type="paragraph" w:styleId="Ttulo3">
    <w:name w:val="heading 3"/>
    <w:basedOn w:val="Normal"/>
    <w:next w:val="Normal"/>
    <w:link w:val="Ttulo3Car"/>
    <w:uiPriority w:val="99"/>
    <w:qFormat/>
    <w:rsid w:val="006B0A0E"/>
    <w:pPr>
      <w:keepNext/>
      <w:numPr>
        <w:ilvl w:val="2"/>
        <w:numId w:val="5"/>
      </w:numPr>
      <w:outlineLvl w:val="2"/>
    </w:pPr>
    <w:rPr>
      <w:rFonts w:cs="Arial"/>
      <w:b/>
      <w:bCs w:val="0"/>
      <w:sz w:val="24"/>
      <w:szCs w:val="26"/>
    </w:rPr>
  </w:style>
  <w:style w:type="paragraph" w:styleId="Ttulo4">
    <w:name w:val="heading 4"/>
    <w:basedOn w:val="Normal"/>
    <w:next w:val="Normal"/>
    <w:link w:val="Ttulo4Car"/>
    <w:uiPriority w:val="99"/>
    <w:qFormat/>
    <w:rsid w:val="006B0A0E"/>
    <w:pPr>
      <w:keepNext/>
      <w:numPr>
        <w:ilvl w:val="3"/>
        <w:numId w:val="5"/>
      </w:numPr>
      <w:tabs>
        <w:tab w:val="left" w:pos="992"/>
      </w:tabs>
      <w:outlineLvl w:val="3"/>
    </w:pPr>
    <w:rPr>
      <w:b/>
      <w:bCs w:val="0"/>
      <w:sz w:val="24"/>
      <w:szCs w:val="28"/>
    </w:rPr>
  </w:style>
  <w:style w:type="paragraph" w:styleId="Ttulo5">
    <w:name w:val="heading 5"/>
    <w:basedOn w:val="Normal"/>
    <w:next w:val="Normal"/>
    <w:link w:val="Ttulo5Car"/>
    <w:uiPriority w:val="99"/>
    <w:qFormat/>
    <w:rsid w:val="006B0A0E"/>
    <w:pPr>
      <w:numPr>
        <w:ilvl w:val="4"/>
        <w:numId w:val="5"/>
      </w:numPr>
      <w:spacing w:before="240" w:after="60"/>
      <w:outlineLvl w:val="4"/>
    </w:pPr>
    <w:rPr>
      <w:b/>
      <w:bCs w:val="0"/>
      <w:i/>
      <w:iCs/>
      <w:sz w:val="26"/>
      <w:szCs w:val="26"/>
    </w:rPr>
  </w:style>
  <w:style w:type="paragraph" w:styleId="Ttulo6">
    <w:name w:val="heading 6"/>
    <w:basedOn w:val="Normal"/>
    <w:next w:val="Normal"/>
    <w:link w:val="Ttulo6Car"/>
    <w:uiPriority w:val="99"/>
    <w:qFormat/>
    <w:rsid w:val="006B0A0E"/>
    <w:pPr>
      <w:numPr>
        <w:ilvl w:val="5"/>
        <w:numId w:val="5"/>
      </w:numPr>
      <w:spacing w:before="240" w:after="60"/>
      <w:outlineLvl w:val="5"/>
    </w:pPr>
    <w:rPr>
      <w:rFonts w:ascii="Times New Roman" w:hAnsi="Times New Roman"/>
      <w:b/>
      <w:bCs w:val="0"/>
      <w:szCs w:val="22"/>
    </w:rPr>
  </w:style>
  <w:style w:type="paragraph" w:styleId="Ttulo7">
    <w:name w:val="heading 7"/>
    <w:basedOn w:val="Normal"/>
    <w:next w:val="Normal"/>
    <w:link w:val="Ttulo7Car"/>
    <w:uiPriority w:val="99"/>
    <w:qFormat/>
    <w:rsid w:val="006B0A0E"/>
    <w:pPr>
      <w:numPr>
        <w:ilvl w:val="6"/>
        <w:numId w:val="5"/>
      </w:numPr>
      <w:spacing w:before="240" w:after="60"/>
      <w:outlineLvl w:val="6"/>
    </w:pPr>
    <w:rPr>
      <w:rFonts w:ascii="Times New Roman" w:hAnsi="Times New Roman"/>
      <w:sz w:val="24"/>
      <w:szCs w:val="24"/>
    </w:rPr>
  </w:style>
  <w:style w:type="paragraph" w:styleId="Ttulo8">
    <w:name w:val="heading 8"/>
    <w:basedOn w:val="Normal"/>
    <w:next w:val="Normal"/>
    <w:link w:val="Ttulo8Car"/>
    <w:uiPriority w:val="99"/>
    <w:qFormat/>
    <w:rsid w:val="006B0A0E"/>
    <w:pPr>
      <w:numPr>
        <w:ilvl w:val="7"/>
        <w:numId w:val="5"/>
      </w:numPr>
      <w:spacing w:before="240" w:after="60"/>
      <w:outlineLvl w:val="7"/>
    </w:pPr>
    <w:rPr>
      <w:rFonts w:ascii="Times New Roman" w:hAnsi="Times New Roman"/>
      <w:i/>
      <w:iCs/>
      <w:sz w:val="24"/>
      <w:szCs w:val="24"/>
    </w:rPr>
  </w:style>
  <w:style w:type="paragraph" w:styleId="Ttulo9">
    <w:name w:val="heading 9"/>
    <w:basedOn w:val="Normal"/>
    <w:next w:val="Normal"/>
    <w:link w:val="Ttulo9Car"/>
    <w:uiPriority w:val="99"/>
    <w:qFormat/>
    <w:rsid w:val="006B0A0E"/>
    <w:pPr>
      <w:numPr>
        <w:ilvl w:val="8"/>
        <w:numId w:val="5"/>
      </w:numPr>
      <w:spacing w:before="240" w:after="60"/>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73D8E"/>
    <w:rPr>
      <w:rFonts w:ascii="Cambria" w:hAnsi="Cambria" w:cs="Times New Roman"/>
      <w:b/>
      <w:bCs/>
      <w:kern w:val="32"/>
      <w:sz w:val="32"/>
      <w:szCs w:val="32"/>
      <w:lang w:val="en-GB" w:eastAsia="de-DE"/>
    </w:rPr>
  </w:style>
  <w:style w:type="character" w:customStyle="1" w:styleId="Ttulo2Car1">
    <w:name w:val="Título 2 Car1"/>
    <w:basedOn w:val="Fuentedeprrafopredeter"/>
    <w:link w:val="Ttulo2"/>
    <w:uiPriority w:val="99"/>
    <w:semiHidden/>
    <w:locked/>
    <w:rsid w:val="00773D8E"/>
    <w:rPr>
      <w:rFonts w:ascii="Cambria" w:hAnsi="Cambria" w:cs="Times New Roman"/>
      <w:b/>
      <w:bCs/>
      <w:i/>
      <w:iCs/>
      <w:sz w:val="28"/>
      <w:szCs w:val="28"/>
      <w:lang w:val="en-GB" w:eastAsia="de-DE"/>
    </w:rPr>
  </w:style>
  <w:style w:type="character" w:customStyle="1" w:styleId="Ttulo3Car">
    <w:name w:val="Título 3 Car"/>
    <w:basedOn w:val="Fuentedeprrafopredeter"/>
    <w:link w:val="Ttulo3"/>
    <w:uiPriority w:val="99"/>
    <w:semiHidden/>
    <w:locked/>
    <w:rsid w:val="00773D8E"/>
    <w:rPr>
      <w:rFonts w:ascii="Cambria" w:hAnsi="Cambria" w:cs="Times New Roman"/>
      <w:b/>
      <w:bCs/>
      <w:sz w:val="26"/>
      <w:szCs w:val="26"/>
      <w:lang w:val="en-GB" w:eastAsia="de-DE"/>
    </w:rPr>
  </w:style>
  <w:style w:type="character" w:customStyle="1" w:styleId="Ttulo4Car">
    <w:name w:val="Título 4 Car"/>
    <w:basedOn w:val="Fuentedeprrafopredeter"/>
    <w:link w:val="Ttulo4"/>
    <w:uiPriority w:val="99"/>
    <w:semiHidden/>
    <w:locked/>
    <w:rsid w:val="00773D8E"/>
    <w:rPr>
      <w:rFonts w:ascii="Calibri" w:hAnsi="Calibri" w:cs="Times New Roman"/>
      <w:b/>
      <w:bCs/>
      <w:sz w:val="28"/>
      <w:szCs w:val="28"/>
      <w:lang w:val="en-GB" w:eastAsia="de-DE"/>
    </w:rPr>
  </w:style>
  <w:style w:type="character" w:customStyle="1" w:styleId="Ttulo5Car">
    <w:name w:val="Título 5 Car"/>
    <w:basedOn w:val="Fuentedeprrafopredeter"/>
    <w:link w:val="Ttulo5"/>
    <w:uiPriority w:val="99"/>
    <w:semiHidden/>
    <w:locked/>
    <w:rsid w:val="00773D8E"/>
    <w:rPr>
      <w:rFonts w:ascii="Calibri" w:hAnsi="Calibri" w:cs="Times New Roman"/>
      <w:b/>
      <w:bCs/>
      <w:i/>
      <w:iCs/>
      <w:sz w:val="26"/>
      <w:szCs w:val="26"/>
      <w:lang w:val="en-GB" w:eastAsia="de-DE"/>
    </w:rPr>
  </w:style>
  <w:style w:type="character" w:customStyle="1" w:styleId="Ttulo6Car">
    <w:name w:val="Título 6 Car"/>
    <w:basedOn w:val="Fuentedeprrafopredeter"/>
    <w:link w:val="Ttulo6"/>
    <w:uiPriority w:val="99"/>
    <w:semiHidden/>
    <w:locked/>
    <w:rsid w:val="00773D8E"/>
    <w:rPr>
      <w:rFonts w:ascii="Calibri" w:hAnsi="Calibri" w:cs="Times New Roman"/>
      <w:b/>
      <w:lang w:val="en-GB" w:eastAsia="de-DE"/>
    </w:rPr>
  </w:style>
  <w:style w:type="character" w:customStyle="1" w:styleId="Ttulo7Car">
    <w:name w:val="Título 7 Car"/>
    <w:basedOn w:val="Fuentedeprrafopredeter"/>
    <w:link w:val="Ttulo7"/>
    <w:uiPriority w:val="99"/>
    <w:semiHidden/>
    <w:locked/>
    <w:rsid w:val="00773D8E"/>
    <w:rPr>
      <w:rFonts w:ascii="Calibri" w:hAnsi="Calibri" w:cs="Times New Roman"/>
      <w:bCs/>
      <w:sz w:val="24"/>
      <w:szCs w:val="24"/>
      <w:lang w:val="en-GB" w:eastAsia="de-DE"/>
    </w:rPr>
  </w:style>
  <w:style w:type="character" w:customStyle="1" w:styleId="Ttulo8Car">
    <w:name w:val="Título 8 Car"/>
    <w:basedOn w:val="Fuentedeprrafopredeter"/>
    <w:link w:val="Ttulo8"/>
    <w:uiPriority w:val="99"/>
    <w:semiHidden/>
    <w:locked/>
    <w:rsid w:val="00773D8E"/>
    <w:rPr>
      <w:rFonts w:ascii="Calibri" w:hAnsi="Calibri" w:cs="Times New Roman"/>
      <w:bCs/>
      <w:i/>
      <w:iCs/>
      <w:sz w:val="24"/>
      <w:szCs w:val="24"/>
      <w:lang w:val="en-GB" w:eastAsia="de-DE"/>
    </w:rPr>
  </w:style>
  <w:style w:type="character" w:customStyle="1" w:styleId="Ttulo9Car">
    <w:name w:val="Título 9 Car"/>
    <w:basedOn w:val="Fuentedeprrafopredeter"/>
    <w:link w:val="Ttulo9"/>
    <w:uiPriority w:val="99"/>
    <w:semiHidden/>
    <w:locked/>
    <w:rsid w:val="00773D8E"/>
    <w:rPr>
      <w:rFonts w:ascii="Cambria" w:hAnsi="Cambria" w:cs="Times New Roman"/>
      <w:bCs/>
      <w:lang w:val="en-GB" w:eastAsia="de-DE"/>
    </w:rPr>
  </w:style>
  <w:style w:type="paragraph" w:styleId="Textodeglobo">
    <w:name w:val="Balloon Text"/>
    <w:basedOn w:val="Normal"/>
    <w:link w:val="TextodegloboCar1"/>
    <w:uiPriority w:val="99"/>
    <w:semiHidden/>
    <w:rsid w:val="00067EB0"/>
    <w:rPr>
      <w:rFonts w:ascii="Tahoma" w:hAnsi="Tahoma" w:cs="Tahoma"/>
      <w:sz w:val="16"/>
      <w:szCs w:val="16"/>
    </w:rPr>
  </w:style>
  <w:style w:type="character" w:customStyle="1" w:styleId="TextodegloboCar1">
    <w:name w:val="Texto de globo Car1"/>
    <w:basedOn w:val="Fuentedeprrafopredeter"/>
    <w:link w:val="Textodeglobo"/>
    <w:uiPriority w:val="99"/>
    <w:semiHidden/>
    <w:locked/>
    <w:rsid w:val="00067EB0"/>
    <w:rPr>
      <w:rFonts w:ascii="Tahoma" w:hAnsi="Tahoma" w:cs="Tahoma"/>
      <w:bCs/>
      <w:sz w:val="16"/>
      <w:szCs w:val="16"/>
      <w:lang w:val="en-GB" w:eastAsia="de-DE"/>
    </w:rPr>
  </w:style>
  <w:style w:type="character" w:customStyle="1" w:styleId="Ttulo2Car">
    <w:name w:val="Título 2 Car"/>
    <w:basedOn w:val="Fuentedeprrafopredeter"/>
    <w:uiPriority w:val="99"/>
    <w:rsid w:val="006B0A0E"/>
    <w:rPr>
      <w:rFonts w:ascii="Arial" w:hAnsi="Arial" w:cs="Arial"/>
      <w:b/>
      <w:iCs/>
      <w:sz w:val="28"/>
      <w:szCs w:val="28"/>
      <w:lang w:val="en-GB" w:eastAsia="de-DE"/>
    </w:rPr>
  </w:style>
  <w:style w:type="paragraph" w:customStyle="1" w:styleId="Title-4">
    <w:name w:val="Title-4"/>
    <w:next w:val="Text"/>
    <w:autoRedefine/>
    <w:uiPriority w:val="99"/>
    <w:rsid w:val="006B0A0E"/>
    <w:pPr>
      <w:numPr>
        <w:ilvl w:val="4"/>
        <w:numId w:val="1"/>
      </w:numPr>
      <w:spacing w:before="480" w:after="240"/>
    </w:pPr>
    <w:rPr>
      <w:rFonts w:ascii="Arial" w:hAnsi="Arial" w:cs="Arial"/>
      <w:b/>
      <w:bCs/>
      <w:kern w:val="32"/>
      <w:szCs w:val="32"/>
      <w:lang w:val="en-GB" w:eastAsia="de-DE"/>
    </w:rPr>
  </w:style>
  <w:style w:type="paragraph" w:styleId="TDC1">
    <w:name w:val="toc 1"/>
    <w:basedOn w:val="Normal"/>
    <w:next w:val="Text"/>
    <w:uiPriority w:val="99"/>
    <w:rsid w:val="006B0A0E"/>
    <w:pPr>
      <w:keepLines w:val="0"/>
      <w:tabs>
        <w:tab w:val="left" w:pos="399"/>
        <w:tab w:val="right" w:leader="dot" w:pos="9344"/>
      </w:tabs>
      <w:spacing w:before="240" w:after="120" w:line="360" w:lineRule="auto"/>
      <w:jc w:val="left"/>
    </w:pPr>
    <w:rPr>
      <w:rFonts w:cs="Arial"/>
      <w:b/>
      <w:caps/>
      <w:noProof/>
      <w:szCs w:val="22"/>
    </w:rPr>
  </w:style>
  <w:style w:type="paragraph" w:styleId="TDC2">
    <w:name w:val="toc 2"/>
    <w:basedOn w:val="Normal"/>
    <w:next w:val="Text"/>
    <w:uiPriority w:val="99"/>
    <w:rsid w:val="006B0A0E"/>
    <w:pPr>
      <w:keepLines w:val="0"/>
      <w:tabs>
        <w:tab w:val="left" w:pos="855"/>
        <w:tab w:val="right" w:leader="dot" w:pos="9344"/>
      </w:tabs>
      <w:spacing w:before="120" w:after="120" w:line="360" w:lineRule="auto"/>
      <w:ind w:left="397"/>
      <w:jc w:val="left"/>
    </w:pPr>
    <w:rPr>
      <w:szCs w:val="22"/>
    </w:rPr>
  </w:style>
  <w:style w:type="paragraph" w:customStyle="1" w:styleId="Textodeglobo1">
    <w:name w:val="Texto de globo1"/>
    <w:basedOn w:val="Normal"/>
    <w:uiPriority w:val="99"/>
    <w:semiHidden/>
    <w:rsid w:val="006B0A0E"/>
    <w:rPr>
      <w:rFonts w:ascii="Tahoma" w:hAnsi="Tahoma" w:cs="Tahoma"/>
      <w:sz w:val="16"/>
      <w:szCs w:val="16"/>
    </w:rPr>
  </w:style>
  <w:style w:type="paragraph" w:styleId="Textonotapie">
    <w:name w:val="footnote text"/>
    <w:basedOn w:val="Normal"/>
    <w:link w:val="TextonotapieCar1"/>
    <w:autoRedefine/>
    <w:uiPriority w:val="99"/>
    <w:semiHidden/>
    <w:rsid w:val="006B0A0E"/>
    <w:pPr>
      <w:keepLines w:val="0"/>
      <w:tabs>
        <w:tab w:val="left" w:pos="227"/>
      </w:tabs>
      <w:spacing w:after="60"/>
      <w:ind w:left="227" w:hanging="227"/>
      <w:jc w:val="left"/>
    </w:pPr>
    <w:rPr>
      <w:sz w:val="18"/>
      <w:lang w:eastAsia="en-US"/>
    </w:rPr>
  </w:style>
  <w:style w:type="character" w:customStyle="1" w:styleId="TextonotapieCar1">
    <w:name w:val="Texto nota pie Car1"/>
    <w:basedOn w:val="Fuentedeprrafopredeter"/>
    <w:link w:val="Textonotapie"/>
    <w:uiPriority w:val="99"/>
    <w:semiHidden/>
    <w:locked/>
    <w:rsid w:val="00773D8E"/>
    <w:rPr>
      <w:rFonts w:ascii="Arial" w:hAnsi="Arial" w:cs="Times New Roman"/>
      <w:bCs/>
      <w:sz w:val="20"/>
      <w:szCs w:val="20"/>
      <w:lang w:val="en-GB" w:eastAsia="de-DE"/>
    </w:rPr>
  </w:style>
  <w:style w:type="character" w:styleId="Refdenotaalpie">
    <w:name w:val="footnote reference"/>
    <w:basedOn w:val="Fuentedeprrafopredeter"/>
    <w:uiPriority w:val="99"/>
    <w:semiHidden/>
    <w:rsid w:val="006B0A0E"/>
    <w:rPr>
      <w:rFonts w:ascii="Arial" w:hAnsi="Arial" w:cs="Times New Roman"/>
      <w:sz w:val="18"/>
      <w:szCs w:val="18"/>
      <w:vertAlign w:val="superscript"/>
    </w:rPr>
  </w:style>
  <w:style w:type="paragraph" w:customStyle="1" w:styleId="Prrafodelista1">
    <w:name w:val="Párrafo de lista1"/>
    <w:basedOn w:val="Normal"/>
    <w:uiPriority w:val="99"/>
    <w:rsid w:val="006B0A0E"/>
    <w:pPr>
      <w:keepLines w:val="0"/>
      <w:ind w:left="708"/>
      <w:jc w:val="left"/>
    </w:pPr>
    <w:rPr>
      <w:rFonts w:ascii="Times New Roman" w:hAnsi="Times New Roman"/>
      <w:bCs w:val="0"/>
      <w:sz w:val="24"/>
      <w:szCs w:val="24"/>
      <w:lang w:val="es-ES" w:eastAsia="es-ES"/>
    </w:rPr>
  </w:style>
  <w:style w:type="paragraph" w:customStyle="1" w:styleId="Corpo">
    <w:name w:val="Corpo"/>
    <w:next w:val="Text"/>
    <w:uiPriority w:val="99"/>
    <w:rsid w:val="006B0A0E"/>
    <w:pPr>
      <w:pBdr>
        <w:top w:val="single" w:sz="6" w:space="8" w:color="336699"/>
        <w:bottom w:val="single" w:sz="6" w:space="8" w:color="336699"/>
      </w:pBdr>
      <w:spacing w:before="240" w:line="360" w:lineRule="auto"/>
      <w:jc w:val="center"/>
    </w:pPr>
    <w:rPr>
      <w:rFonts w:ascii="Arial" w:hAnsi="Arial"/>
      <w:color w:val="336699"/>
      <w:sz w:val="18"/>
      <w:szCs w:val="20"/>
      <w:lang w:val="pt-PT" w:eastAsia="en-US"/>
    </w:rPr>
  </w:style>
  <w:style w:type="paragraph" w:customStyle="1" w:styleId="Text">
    <w:name w:val="Text"/>
    <w:uiPriority w:val="99"/>
    <w:rsid w:val="006B0A0E"/>
    <w:rPr>
      <w:rFonts w:ascii="Arial" w:hAnsi="Arial" w:cs="Courier New"/>
      <w:szCs w:val="20"/>
      <w:lang w:val="en-GB" w:eastAsia="de-DE"/>
    </w:rPr>
  </w:style>
  <w:style w:type="paragraph" w:customStyle="1" w:styleId="Textodeglobo2">
    <w:name w:val="Texto de globo2"/>
    <w:basedOn w:val="Normal"/>
    <w:uiPriority w:val="99"/>
    <w:semiHidden/>
    <w:rsid w:val="006B0A0E"/>
    <w:rPr>
      <w:rFonts w:ascii="Tahoma" w:hAnsi="Tahoma" w:cs="Tahoma"/>
      <w:sz w:val="16"/>
      <w:szCs w:val="16"/>
    </w:rPr>
  </w:style>
  <w:style w:type="paragraph" w:styleId="Encabezado">
    <w:name w:val="header"/>
    <w:basedOn w:val="Normal"/>
    <w:link w:val="EncabezadoCar"/>
    <w:autoRedefine/>
    <w:uiPriority w:val="99"/>
    <w:semiHidden/>
    <w:rsid w:val="00463D35"/>
    <w:pPr>
      <w:keepLines w:val="0"/>
      <w:pBdr>
        <w:bottom w:val="single" w:sz="6" w:space="4" w:color="336699"/>
      </w:pBdr>
      <w:jc w:val="right"/>
    </w:pPr>
    <w:rPr>
      <w:bCs w:val="0"/>
      <w:color w:val="336699"/>
      <w:sz w:val="18"/>
    </w:rPr>
  </w:style>
  <w:style w:type="character" w:customStyle="1" w:styleId="EncabezadoCar">
    <w:name w:val="Encabezado Car"/>
    <w:basedOn w:val="Fuentedeprrafopredeter"/>
    <w:link w:val="Encabezado"/>
    <w:uiPriority w:val="99"/>
    <w:semiHidden/>
    <w:locked/>
    <w:rsid w:val="00773D8E"/>
    <w:rPr>
      <w:rFonts w:ascii="Arial" w:hAnsi="Arial" w:cs="Times New Roman"/>
      <w:bCs/>
      <w:sz w:val="20"/>
      <w:szCs w:val="20"/>
      <w:lang w:val="en-GB" w:eastAsia="de-DE"/>
    </w:rPr>
  </w:style>
  <w:style w:type="paragraph" w:customStyle="1" w:styleId="normal0">
    <w:name w:val="normal"/>
    <w:basedOn w:val="Normal"/>
    <w:uiPriority w:val="99"/>
    <w:rsid w:val="006B0A0E"/>
    <w:pPr>
      <w:keepLines w:val="0"/>
      <w:jc w:val="left"/>
    </w:pPr>
    <w:rPr>
      <w:rFonts w:ascii="Times New Roman" w:hAnsi="Times New Roman"/>
      <w:bCs w:val="0"/>
      <w:sz w:val="24"/>
      <w:szCs w:val="24"/>
      <w:lang w:val="es-ES" w:eastAsia="es-ES"/>
    </w:rPr>
  </w:style>
  <w:style w:type="paragraph" w:customStyle="1" w:styleId="Head1">
    <w:name w:val="Head1"/>
    <w:next w:val="Text"/>
    <w:uiPriority w:val="99"/>
    <w:rsid w:val="006B0A0E"/>
    <w:pPr>
      <w:jc w:val="center"/>
    </w:pPr>
    <w:rPr>
      <w:rFonts w:ascii="Arial" w:hAnsi="Arial"/>
      <w:b/>
      <w:sz w:val="48"/>
      <w:szCs w:val="20"/>
      <w:lang w:val="en-GB" w:eastAsia="de-DE"/>
    </w:rPr>
  </w:style>
  <w:style w:type="paragraph" w:customStyle="1" w:styleId="Head2">
    <w:name w:val="Head2"/>
    <w:next w:val="Text"/>
    <w:uiPriority w:val="99"/>
    <w:rsid w:val="006B0A0E"/>
    <w:pPr>
      <w:jc w:val="center"/>
    </w:pPr>
    <w:rPr>
      <w:rFonts w:ascii="Arial" w:hAnsi="Arial"/>
      <w:b/>
      <w:sz w:val="36"/>
      <w:szCs w:val="20"/>
      <w:lang w:val="en-GB" w:eastAsia="de-DE"/>
    </w:rPr>
  </w:style>
  <w:style w:type="paragraph" w:styleId="Textonotaalfinal">
    <w:name w:val="endnote text"/>
    <w:basedOn w:val="Normal"/>
    <w:link w:val="TextonotaalfinalCar"/>
    <w:uiPriority w:val="99"/>
    <w:semiHidden/>
    <w:rsid w:val="006B0A0E"/>
    <w:rPr>
      <w:sz w:val="20"/>
    </w:rPr>
  </w:style>
  <w:style w:type="character" w:customStyle="1" w:styleId="TextonotaalfinalCar">
    <w:name w:val="Texto nota al final Car"/>
    <w:basedOn w:val="Fuentedeprrafopredeter"/>
    <w:link w:val="Textonotaalfinal"/>
    <w:uiPriority w:val="99"/>
    <w:semiHidden/>
    <w:locked/>
    <w:rsid w:val="00773D8E"/>
    <w:rPr>
      <w:rFonts w:ascii="Arial" w:hAnsi="Arial" w:cs="Times New Roman"/>
      <w:bCs/>
      <w:sz w:val="20"/>
      <w:szCs w:val="20"/>
      <w:lang w:val="en-GB" w:eastAsia="de-DE"/>
    </w:rPr>
  </w:style>
  <w:style w:type="character" w:styleId="Hipervnculo">
    <w:name w:val="Hyperlink"/>
    <w:basedOn w:val="Fuentedeprrafopredeter"/>
    <w:uiPriority w:val="99"/>
    <w:rsid w:val="006B0A0E"/>
    <w:rPr>
      <w:rFonts w:cs="Times New Roman"/>
      <w:color w:val="0000FF"/>
      <w:u w:val="single"/>
    </w:rPr>
  </w:style>
  <w:style w:type="paragraph" w:styleId="Epgrafe">
    <w:name w:val="caption"/>
    <w:basedOn w:val="Normal"/>
    <w:next w:val="Normal"/>
    <w:autoRedefine/>
    <w:uiPriority w:val="99"/>
    <w:qFormat/>
    <w:rsid w:val="006B0A0E"/>
    <w:pPr>
      <w:spacing w:before="120"/>
      <w:jc w:val="center"/>
    </w:pPr>
    <w:rPr>
      <w:bCs w:val="0"/>
      <w:i/>
      <w:sz w:val="18"/>
    </w:rPr>
  </w:style>
  <w:style w:type="character" w:customStyle="1" w:styleId="TextonotapieCar">
    <w:name w:val="Texto nota pie Car"/>
    <w:basedOn w:val="Fuentedeprrafopredeter"/>
    <w:uiPriority w:val="99"/>
    <w:semiHidden/>
    <w:rsid w:val="006B0A0E"/>
    <w:rPr>
      <w:rFonts w:ascii="Arial" w:hAnsi="Arial" w:cs="Times New Roman"/>
      <w:bCs/>
      <w:sz w:val="18"/>
      <w:lang w:val="en-GB" w:eastAsia="en-US"/>
    </w:rPr>
  </w:style>
  <w:style w:type="paragraph" w:customStyle="1" w:styleId="Image">
    <w:name w:val="Image"/>
    <w:next w:val="Text"/>
    <w:autoRedefine/>
    <w:uiPriority w:val="99"/>
    <w:rsid w:val="006B0A0E"/>
    <w:pPr>
      <w:spacing w:after="120"/>
      <w:jc w:val="center"/>
    </w:pPr>
    <w:rPr>
      <w:rFonts w:ascii="Arial" w:hAnsi="Arial" w:cs="Courier New"/>
      <w:szCs w:val="20"/>
      <w:lang w:val="en-GB" w:eastAsia="de-DE"/>
    </w:rPr>
  </w:style>
  <w:style w:type="paragraph" w:styleId="Tabladeilustraciones">
    <w:name w:val="table of figures"/>
    <w:basedOn w:val="Normal"/>
    <w:next w:val="Normal"/>
    <w:uiPriority w:val="99"/>
    <w:rsid w:val="006B0A0E"/>
    <w:pPr>
      <w:spacing w:before="120" w:after="120" w:line="360" w:lineRule="auto"/>
    </w:pPr>
  </w:style>
  <w:style w:type="paragraph" w:customStyle="1" w:styleId="Title-0">
    <w:name w:val="Title-0"/>
    <w:next w:val="Text"/>
    <w:autoRedefine/>
    <w:uiPriority w:val="99"/>
    <w:rsid w:val="006B0A0E"/>
    <w:pPr>
      <w:keepNext/>
      <w:numPr>
        <w:numId w:val="1"/>
      </w:numPr>
      <w:spacing w:before="480" w:after="240"/>
      <w:outlineLvl w:val="0"/>
    </w:pPr>
    <w:rPr>
      <w:rFonts w:ascii="Arial" w:hAnsi="Arial" w:cs="Arial"/>
      <w:b/>
      <w:bCs/>
      <w:kern w:val="32"/>
      <w:sz w:val="28"/>
      <w:szCs w:val="32"/>
      <w:lang w:val="en-GB" w:eastAsia="de-DE"/>
    </w:rPr>
  </w:style>
  <w:style w:type="paragraph" w:customStyle="1" w:styleId="Title-1">
    <w:name w:val="Title-1"/>
    <w:next w:val="Text"/>
    <w:autoRedefine/>
    <w:uiPriority w:val="99"/>
    <w:rsid w:val="006B0A0E"/>
    <w:pPr>
      <w:keepNext/>
      <w:numPr>
        <w:ilvl w:val="1"/>
        <w:numId w:val="1"/>
      </w:numPr>
      <w:spacing w:before="480" w:after="240"/>
      <w:outlineLvl w:val="0"/>
    </w:pPr>
    <w:rPr>
      <w:rFonts w:ascii="Arial" w:hAnsi="Arial" w:cs="Arial"/>
      <w:b/>
      <w:bCs/>
      <w:kern w:val="32"/>
      <w:sz w:val="24"/>
      <w:szCs w:val="32"/>
      <w:lang w:val="en-GB" w:eastAsia="de-DE"/>
    </w:rPr>
  </w:style>
  <w:style w:type="paragraph" w:customStyle="1" w:styleId="Title-2">
    <w:name w:val="Title-2"/>
    <w:next w:val="Text"/>
    <w:autoRedefine/>
    <w:uiPriority w:val="99"/>
    <w:rsid w:val="006B0A0E"/>
    <w:pPr>
      <w:keepNext/>
      <w:numPr>
        <w:ilvl w:val="2"/>
        <w:numId w:val="1"/>
      </w:numPr>
      <w:spacing w:before="480" w:after="240"/>
      <w:outlineLvl w:val="0"/>
    </w:pPr>
    <w:rPr>
      <w:rFonts w:ascii="Arial" w:hAnsi="Arial" w:cs="Arial"/>
      <w:b/>
      <w:bCs/>
      <w:kern w:val="32"/>
      <w:szCs w:val="32"/>
      <w:lang w:val="en-GB" w:eastAsia="de-DE"/>
    </w:rPr>
  </w:style>
  <w:style w:type="paragraph" w:customStyle="1" w:styleId="Title-3">
    <w:name w:val="Title-3"/>
    <w:next w:val="Text"/>
    <w:autoRedefine/>
    <w:uiPriority w:val="99"/>
    <w:rsid w:val="006B0A0E"/>
    <w:pPr>
      <w:numPr>
        <w:ilvl w:val="3"/>
        <w:numId w:val="1"/>
      </w:numPr>
      <w:spacing w:before="480" w:after="240"/>
    </w:pPr>
    <w:rPr>
      <w:rFonts w:ascii="Arial" w:hAnsi="Arial"/>
      <w:b/>
      <w:szCs w:val="20"/>
      <w:lang w:val="en-GB" w:eastAsia="de-DE"/>
    </w:rPr>
  </w:style>
  <w:style w:type="paragraph" w:styleId="TDC3">
    <w:name w:val="toc 3"/>
    <w:basedOn w:val="Normal"/>
    <w:next w:val="Text"/>
    <w:uiPriority w:val="99"/>
    <w:rsid w:val="006B0A0E"/>
    <w:pPr>
      <w:keepLines w:val="0"/>
      <w:tabs>
        <w:tab w:val="left" w:pos="1710"/>
        <w:tab w:val="right" w:leader="dot" w:pos="9344"/>
      </w:tabs>
      <w:spacing w:before="60" w:line="360" w:lineRule="auto"/>
      <w:ind w:left="856"/>
      <w:jc w:val="left"/>
    </w:pPr>
    <w:rPr>
      <w:bCs w:val="0"/>
    </w:rPr>
  </w:style>
  <w:style w:type="character" w:styleId="Refdenotaalfinal">
    <w:name w:val="endnote reference"/>
    <w:basedOn w:val="Fuentedeprrafopredeter"/>
    <w:uiPriority w:val="99"/>
    <w:semiHidden/>
    <w:rsid w:val="006B0A0E"/>
    <w:rPr>
      <w:rFonts w:cs="Times New Roman"/>
      <w:vertAlign w:val="superscript"/>
    </w:rPr>
  </w:style>
  <w:style w:type="paragraph" w:styleId="Piedepgina">
    <w:name w:val="footer"/>
    <w:basedOn w:val="Normal"/>
    <w:link w:val="PiedepginaCar"/>
    <w:uiPriority w:val="99"/>
    <w:semiHidden/>
    <w:rsid w:val="006B0A0E"/>
    <w:pPr>
      <w:keepLines w:val="0"/>
      <w:tabs>
        <w:tab w:val="center" w:pos="4536"/>
        <w:tab w:val="right" w:pos="9072"/>
      </w:tabs>
      <w:jc w:val="left"/>
    </w:pPr>
    <w:rPr>
      <w:bCs w:val="0"/>
    </w:rPr>
  </w:style>
  <w:style w:type="character" w:customStyle="1" w:styleId="PiedepginaCar">
    <w:name w:val="Pie de página Car"/>
    <w:basedOn w:val="Fuentedeprrafopredeter"/>
    <w:link w:val="Piedepgina"/>
    <w:uiPriority w:val="99"/>
    <w:semiHidden/>
    <w:locked/>
    <w:rsid w:val="00773D8E"/>
    <w:rPr>
      <w:rFonts w:ascii="Arial" w:hAnsi="Arial" w:cs="Times New Roman"/>
      <w:bCs/>
      <w:sz w:val="20"/>
      <w:szCs w:val="20"/>
      <w:lang w:val="en-GB" w:eastAsia="de-DE"/>
    </w:rPr>
  </w:style>
  <w:style w:type="character" w:customStyle="1" w:styleId="normalchar1">
    <w:name w:val="normal__char1"/>
    <w:basedOn w:val="Fuentedeprrafopredeter"/>
    <w:uiPriority w:val="99"/>
    <w:rsid w:val="006B0A0E"/>
    <w:rPr>
      <w:rFonts w:ascii="Times New Roman" w:hAnsi="Times New Roman" w:cs="Times New Roman"/>
      <w:sz w:val="24"/>
      <w:szCs w:val="24"/>
      <w:u w:val="none"/>
      <w:effect w:val="none"/>
    </w:rPr>
  </w:style>
  <w:style w:type="paragraph" w:styleId="TDC4">
    <w:name w:val="toc 4"/>
    <w:basedOn w:val="Normal"/>
    <w:next w:val="Text"/>
    <w:uiPriority w:val="99"/>
    <w:semiHidden/>
    <w:rsid w:val="006B0A0E"/>
    <w:pPr>
      <w:keepLines w:val="0"/>
      <w:tabs>
        <w:tab w:val="left" w:pos="1710"/>
        <w:tab w:val="right" w:leader="dot" w:pos="9344"/>
      </w:tabs>
      <w:spacing w:before="60"/>
      <w:ind w:left="856"/>
      <w:jc w:val="left"/>
    </w:pPr>
    <w:rPr>
      <w:bCs w:val="0"/>
    </w:rPr>
  </w:style>
  <w:style w:type="paragraph" w:styleId="TDC5">
    <w:name w:val="toc 5"/>
    <w:basedOn w:val="Normal"/>
    <w:next w:val="Text"/>
    <w:autoRedefine/>
    <w:uiPriority w:val="99"/>
    <w:semiHidden/>
    <w:rsid w:val="006B0A0E"/>
    <w:pPr>
      <w:keepLines w:val="0"/>
      <w:tabs>
        <w:tab w:val="left" w:pos="1710"/>
        <w:tab w:val="right" w:leader="dot" w:pos="9344"/>
      </w:tabs>
      <w:ind w:left="855"/>
      <w:jc w:val="left"/>
    </w:pPr>
    <w:rPr>
      <w:bCs w:val="0"/>
    </w:rPr>
  </w:style>
  <w:style w:type="paragraph" w:styleId="TDC6">
    <w:name w:val="toc 6"/>
    <w:basedOn w:val="Normal"/>
    <w:next w:val="Normal"/>
    <w:autoRedefine/>
    <w:uiPriority w:val="99"/>
    <w:semiHidden/>
    <w:rsid w:val="006B0A0E"/>
    <w:pPr>
      <w:ind w:left="880"/>
      <w:jc w:val="left"/>
    </w:pPr>
    <w:rPr>
      <w:rFonts w:ascii="Times New Roman" w:hAnsi="Times New Roman"/>
      <w:sz w:val="20"/>
    </w:rPr>
  </w:style>
  <w:style w:type="paragraph" w:styleId="TDC7">
    <w:name w:val="toc 7"/>
    <w:basedOn w:val="Normal"/>
    <w:next w:val="Normal"/>
    <w:autoRedefine/>
    <w:uiPriority w:val="99"/>
    <w:semiHidden/>
    <w:rsid w:val="006B0A0E"/>
    <w:pPr>
      <w:ind w:left="1100"/>
      <w:jc w:val="left"/>
    </w:pPr>
    <w:rPr>
      <w:rFonts w:ascii="Times New Roman" w:hAnsi="Times New Roman"/>
      <w:sz w:val="20"/>
    </w:rPr>
  </w:style>
  <w:style w:type="paragraph" w:styleId="TDC8">
    <w:name w:val="toc 8"/>
    <w:basedOn w:val="Normal"/>
    <w:next w:val="Normal"/>
    <w:autoRedefine/>
    <w:uiPriority w:val="99"/>
    <w:semiHidden/>
    <w:rsid w:val="006B0A0E"/>
    <w:pPr>
      <w:ind w:left="1320"/>
      <w:jc w:val="left"/>
    </w:pPr>
    <w:rPr>
      <w:rFonts w:ascii="Times New Roman" w:hAnsi="Times New Roman"/>
      <w:sz w:val="20"/>
    </w:rPr>
  </w:style>
  <w:style w:type="paragraph" w:styleId="TDC9">
    <w:name w:val="toc 9"/>
    <w:basedOn w:val="Normal"/>
    <w:next w:val="Normal"/>
    <w:autoRedefine/>
    <w:uiPriority w:val="99"/>
    <w:semiHidden/>
    <w:rsid w:val="006B0A0E"/>
    <w:pPr>
      <w:ind w:left="1540"/>
      <w:jc w:val="left"/>
    </w:pPr>
    <w:rPr>
      <w:rFonts w:ascii="Times New Roman" w:hAnsi="Times New Roman"/>
      <w:sz w:val="20"/>
    </w:rPr>
  </w:style>
  <w:style w:type="paragraph" w:customStyle="1" w:styleId="Head3">
    <w:name w:val="Head3"/>
    <w:next w:val="Text"/>
    <w:uiPriority w:val="99"/>
    <w:rsid w:val="006B0A0E"/>
    <w:pPr>
      <w:spacing w:after="240"/>
    </w:pPr>
    <w:rPr>
      <w:rFonts w:ascii="Arial" w:hAnsi="Arial" w:cs="Arial"/>
      <w:b/>
      <w:bCs/>
      <w:noProof/>
      <w:sz w:val="28"/>
      <w:szCs w:val="28"/>
      <w:lang w:val="en-GB" w:eastAsia="de-DE"/>
    </w:rPr>
  </w:style>
  <w:style w:type="character" w:customStyle="1" w:styleId="TextZchn">
    <w:name w:val="Text Zchn"/>
    <w:basedOn w:val="Fuentedeprrafopredeter"/>
    <w:uiPriority w:val="99"/>
    <w:rsid w:val="006B0A0E"/>
    <w:rPr>
      <w:rFonts w:ascii="Arial" w:hAnsi="Arial" w:cs="Courier New"/>
      <w:sz w:val="22"/>
      <w:lang w:val="en-GB" w:eastAsia="de-DE" w:bidi="ar-SA"/>
    </w:rPr>
  </w:style>
  <w:style w:type="paragraph" w:customStyle="1" w:styleId="TextinTable">
    <w:name w:val="Text in Table"/>
    <w:basedOn w:val="Text"/>
    <w:uiPriority w:val="99"/>
    <w:rsid w:val="006B0A0E"/>
    <w:pPr>
      <w:spacing w:before="60" w:after="60"/>
    </w:pPr>
    <w:rPr>
      <w:sz w:val="18"/>
    </w:rPr>
  </w:style>
  <w:style w:type="paragraph" w:customStyle="1" w:styleId="TextinTableHeader">
    <w:name w:val="Text in Table Header"/>
    <w:basedOn w:val="TextinTable"/>
    <w:uiPriority w:val="99"/>
    <w:rsid w:val="006B0A0E"/>
    <w:rPr>
      <w:color w:val="FFFFFF"/>
    </w:rPr>
  </w:style>
  <w:style w:type="paragraph" w:customStyle="1" w:styleId="Prrafodelista11">
    <w:name w:val="Párrafo de lista11"/>
    <w:basedOn w:val="Normal"/>
    <w:uiPriority w:val="99"/>
    <w:rsid w:val="006B0A0E"/>
    <w:pPr>
      <w:keepLines w:val="0"/>
      <w:ind w:left="720"/>
      <w:jc w:val="left"/>
    </w:pPr>
    <w:rPr>
      <w:rFonts w:ascii="Calibri" w:hAnsi="Calibri"/>
      <w:bCs w:val="0"/>
      <w:szCs w:val="22"/>
      <w:lang w:val="es-ES" w:eastAsia="es-ES"/>
    </w:rPr>
  </w:style>
  <w:style w:type="paragraph" w:styleId="NormalWeb">
    <w:name w:val="Normal (Web)"/>
    <w:basedOn w:val="Normal"/>
    <w:uiPriority w:val="99"/>
    <w:rsid w:val="006B0A0E"/>
    <w:pPr>
      <w:keepLines w:val="0"/>
      <w:spacing w:before="30" w:after="240"/>
      <w:jc w:val="left"/>
    </w:pPr>
    <w:rPr>
      <w:rFonts w:ascii="Times New Roman" w:hAnsi="Times New Roman"/>
      <w:bCs w:val="0"/>
      <w:sz w:val="20"/>
      <w:lang w:val="es-ES" w:eastAsia="es-ES"/>
    </w:rPr>
  </w:style>
  <w:style w:type="character" w:customStyle="1" w:styleId="mw-formatted-date">
    <w:name w:val="mw-formatted-date"/>
    <w:basedOn w:val="Fuentedeprrafopredeter"/>
    <w:uiPriority w:val="99"/>
    <w:rsid w:val="006B0A0E"/>
    <w:rPr>
      <w:rFonts w:cs="Times New Roman"/>
    </w:rPr>
  </w:style>
  <w:style w:type="paragraph" w:customStyle="1" w:styleId="Default">
    <w:name w:val="Default"/>
    <w:uiPriority w:val="99"/>
    <w:rsid w:val="006B0A0E"/>
    <w:pPr>
      <w:autoSpaceDE w:val="0"/>
      <w:autoSpaceDN w:val="0"/>
      <w:adjustRightInd w:val="0"/>
    </w:pPr>
    <w:rPr>
      <w:rFonts w:ascii="EUAlbertina" w:hAnsi="EUAlbertina" w:cs="EUAlbertina"/>
      <w:color w:val="000000"/>
      <w:sz w:val="24"/>
      <w:szCs w:val="24"/>
      <w:lang w:val="es-ES" w:eastAsia="es-ES"/>
    </w:rPr>
  </w:style>
  <w:style w:type="character" w:styleId="nfasis">
    <w:name w:val="Emphasis"/>
    <w:basedOn w:val="Fuentedeprrafopredeter"/>
    <w:uiPriority w:val="99"/>
    <w:qFormat/>
    <w:rsid w:val="006B0A0E"/>
    <w:rPr>
      <w:rFonts w:cs="Times New Roman"/>
      <w:i/>
      <w:iCs/>
    </w:rPr>
  </w:style>
  <w:style w:type="character" w:styleId="Refdecomentario">
    <w:name w:val="annotation reference"/>
    <w:basedOn w:val="Fuentedeprrafopredeter"/>
    <w:uiPriority w:val="99"/>
    <w:semiHidden/>
    <w:rsid w:val="006B0A0E"/>
    <w:rPr>
      <w:rFonts w:cs="Times New Roman"/>
      <w:sz w:val="16"/>
      <w:szCs w:val="16"/>
    </w:rPr>
  </w:style>
  <w:style w:type="paragraph" w:styleId="Textocomentario">
    <w:name w:val="annotation text"/>
    <w:basedOn w:val="Normal"/>
    <w:link w:val="TextocomentarioCar2"/>
    <w:uiPriority w:val="99"/>
    <w:semiHidden/>
    <w:rsid w:val="006B0A0E"/>
    <w:rPr>
      <w:sz w:val="20"/>
    </w:rPr>
  </w:style>
  <w:style w:type="character" w:customStyle="1" w:styleId="TextocomentarioCar2">
    <w:name w:val="Texto comentario Car2"/>
    <w:basedOn w:val="Fuentedeprrafopredeter"/>
    <w:link w:val="Textocomentario"/>
    <w:uiPriority w:val="99"/>
    <w:semiHidden/>
    <w:locked/>
    <w:rsid w:val="00DF13AF"/>
    <w:rPr>
      <w:rFonts w:ascii="Arial" w:hAnsi="Arial" w:cs="Times New Roman"/>
      <w:bCs/>
      <w:lang w:val="en-GB" w:eastAsia="de-DE"/>
    </w:rPr>
  </w:style>
  <w:style w:type="character" w:customStyle="1" w:styleId="TextocomentarioCar">
    <w:name w:val="Texto comentario Car"/>
    <w:basedOn w:val="Fuentedeprrafopredeter"/>
    <w:uiPriority w:val="99"/>
    <w:rsid w:val="006B0A0E"/>
    <w:rPr>
      <w:rFonts w:ascii="Arial" w:hAnsi="Arial" w:cs="Times New Roman"/>
      <w:bCs/>
      <w:lang w:val="en-GB" w:eastAsia="de-DE"/>
    </w:rPr>
  </w:style>
  <w:style w:type="paragraph" w:customStyle="1" w:styleId="Asuntodelcomentario1">
    <w:name w:val="Asunto del comentario1"/>
    <w:basedOn w:val="Textocomentario"/>
    <w:next w:val="Textocomentario"/>
    <w:uiPriority w:val="99"/>
    <w:rsid w:val="006B0A0E"/>
    <w:rPr>
      <w:b/>
    </w:rPr>
  </w:style>
  <w:style w:type="character" w:customStyle="1" w:styleId="AsuntodelcomentarioCar">
    <w:name w:val="Asunto del comentario Car"/>
    <w:basedOn w:val="TextocomentarioCar"/>
    <w:uiPriority w:val="99"/>
    <w:rsid w:val="006B0A0E"/>
    <w:rPr>
      <w:b/>
    </w:rPr>
  </w:style>
  <w:style w:type="character" w:customStyle="1" w:styleId="TextodegloboCar">
    <w:name w:val="Texto de globo Car"/>
    <w:basedOn w:val="Fuentedeprrafopredeter"/>
    <w:uiPriority w:val="99"/>
    <w:semiHidden/>
    <w:rsid w:val="006B0A0E"/>
    <w:rPr>
      <w:rFonts w:ascii="Tahoma" w:hAnsi="Tahoma" w:cs="Tahoma"/>
      <w:bCs/>
      <w:sz w:val="16"/>
      <w:szCs w:val="16"/>
      <w:lang w:val="en-GB" w:eastAsia="de-DE"/>
    </w:rPr>
  </w:style>
  <w:style w:type="character" w:styleId="Hipervnculovisitado">
    <w:name w:val="FollowedHyperlink"/>
    <w:basedOn w:val="Fuentedeprrafopredeter"/>
    <w:uiPriority w:val="99"/>
    <w:semiHidden/>
    <w:rsid w:val="006B0A0E"/>
    <w:rPr>
      <w:rFonts w:cs="Times New Roman"/>
      <w:color w:val="800080"/>
      <w:u w:val="single"/>
    </w:rPr>
  </w:style>
  <w:style w:type="paragraph" w:customStyle="1" w:styleId="Revisin1">
    <w:name w:val="Revisión1"/>
    <w:hidden/>
    <w:uiPriority w:val="99"/>
    <w:semiHidden/>
    <w:rsid w:val="006B0A0E"/>
    <w:rPr>
      <w:rFonts w:ascii="Arial" w:hAnsi="Arial"/>
      <w:bCs/>
      <w:szCs w:val="20"/>
      <w:lang w:val="en-GB" w:eastAsia="de-DE"/>
    </w:rPr>
  </w:style>
  <w:style w:type="character" w:customStyle="1" w:styleId="Refdenotaalpie1">
    <w:name w:val="Ref. de nota al pie1"/>
    <w:uiPriority w:val="99"/>
    <w:rsid w:val="006B0A0E"/>
    <w:rPr>
      <w:color w:val="000000"/>
    </w:rPr>
  </w:style>
  <w:style w:type="paragraph" w:customStyle="1" w:styleId="table01">
    <w:name w:val="table01"/>
    <w:basedOn w:val="Normal"/>
    <w:uiPriority w:val="99"/>
    <w:rsid w:val="006B0A0E"/>
    <w:pPr>
      <w:keepNext/>
      <w:spacing w:after="120" w:line="360" w:lineRule="auto"/>
    </w:pPr>
    <w:rPr>
      <w:rFonts w:ascii="Arial Narrow" w:hAnsi="Arial Narrow"/>
      <w:b/>
      <w:color w:val="FFFFFF"/>
      <w:sz w:val="20"/>
    </w:rPr>
  </w:style>
  <w:style w:type="paragraph" w:customStyle="1" w:styleId="Asuntodelcomentario2">
    <w:name w:val="Asunto del comentario2"/>
    <w:basedOn w:val="Textocomentario"/>
    <w:next w:val="Textocomentario"/>
    <w:uiPriority w:val="99"/>
    <w:semiHidden/>
    <w:rsid w:val="006B0A0E"/>
    <w:rPr>
      <w:b/>
    </w:rPr>
  </w:style>
  <w:style w:type="character" w:customStyle="1" w:styleId="table01Car">
    <w:name w:val="table01 Car"/>
    <w:basedOn w:val="Fuentedeprrafopredeter"/>
    <w:uiPriority w:val="99"/>
    <w:rsid w:val="006B0A0E"/>
    <w:rPr>
      <w:rFonts w:ascii="Arial Narrow" w:hAnsi="Arial Narrow" w:cs="Times New Roman"/>
      <w:b/>
      <w:bCs/>
      <w:color w:val="FFFFFF"/>
      <w:lang w:val="en-GB" w:eastAsia="de-DE"/>
    </w:rPr>
  </w:style>
  <w:style w:type="character" w:customStyle="1" w:styleId="TextocomentarioCar1">
    <w:name w:val="Texto comentario Car1"/>
    <w:basedOn w:val="Fuentedeprrafopredeter"/>
    <w:uiPriority w:val="99"/>
    <w:semiHidden/>
    <w:rsid w:val="006B0A0E"/>
    <w:rPr>
      <w:rFonts w:ascii="Arial" w:hAnsi="Arial" w:cs="Times New Roman"/>
      <w:bCs/>
      <w:lang w:val="en-GB" w:eastAsia="de-DE"/>
    </w:rPr>
  </w:style>
  <w:style w:type="character" w:customStyle="1" w:styleId="AsuntodelcomentarioCar1">
    <w:name w:val="Asunto del comentario Car1"/>
    <w:basedOn w:val="TextocomentarioCar1"/>
    <w:uiPriority w:val="99"/>
    <w:rsid w:val="006B0A0E"/>
  </w:style>
  <w:style w:type="paragraph" w:styleId="Asuntodelcomentario">
    <w:name w:val="annotation subject"/>
    <w:basedOn w:val="Textocomentario"/>
    <w:next w:val="Textocomentario"/>
    <w:link w:val="AsuntodelcomentarioCar2"/>
    <w:uiPriority w:val="99"/>
    <w:semiHidden/>
    <w:rsid w:val="00DF13AF"/>
    <w:rPr>
      <w:b/>
    </w:rPr>
  </w:style>
  <w:style w:type="character" w:customStyle="1" w:styleId="AsuntodelcomentarioCar2">
    <w:name w:val="Asunto del comentario Car2"/>
    <w:basedOn w:val="TextocomentarioCar2"/>
    <w:link w:val="Asuntodelcomentario"/>
    <w:uiPriority w:val="99"/>
    <w:locked/>
    <w:rsid w:val="00DF13AF"/>
  </w:style>
  <w:style w:type="paragraph" w:styleId="Prrafodelista">
    <w:name w:val="List Paragraph"/>
    <w:basedOn w:val="Normal"/>
    <w:uiPriority w:val="99"/>
    <w:qFormat/>
    <w:rsid w:val="00EF128A"/>
    <w:pPr>
      <w:ind w:left="720"/>
      <w:contextualSpacing/>
    </w:pPr>
  </w:style>
  <w:style w:type="paragraph" w:customStyle="1" w:styleId="Prrafodelista2">
    <w:name w:val="Párrafo de lista2"/>
    <w:basedOn w:val="Normal"/>
    <w:uiPriority w:val="99"/>
    <w:rsid w:val="005E1539"/>
    <w:pPr>
      <w:keepLines w:val="0"/>
      <w:ind w:left="708"/>
      <w:jc w:val="left"/>
    </w:pPr>
    <w:rPr>
      <w:rFonts w:ascii="Times New Roman" w:hAnsi="Times New Roman"/>
      <w:bCs w:val="0"/>
      <w:sz w:val="24"/>
      <w:szCs w:val="24"/>
      <w:lang w:val="es-ES" w:eastAsia="es-ES"/>
    </w:rPr>
  </w:style>
  <w:style w:type="character" w:customStyle="1" w:styleId="CarCar2">
    <w:name w:val="Car Car2"/>
    <w:basedOn w:val="Fuentedeprrafopredeter"/>
    <w:uiPriority w:val="99"/>
    <w:semiHidden/>
    <w:rsid w:val="008337EA"/>
    <w:rPr>
      <w:rFonts w:ascii="Arial" w:hAnsi="Arial" w:cs="Times New Roman"/>
      <w:bCs/>
      <w:lang w:val="en-GB" w:eastAsia="de-DE"/>
    </w:rPr>
  </w:style>
  <w:style w:type="paragraph" w:styleId="Revisin">
    <w:name w:val="Revision"/>
    <w:hidden/>
    <w:uiPriority w:val="99"/>
    <w:semiHidden/>
    <w:rsid w:val="00C938E8"/>
    <w:rPr>
      <w:rFonts w:ascii="Arial" w:hAnsi="Arial"/>
      <w:bCs/>
      <w:szCs w:val="20"/>
      <w:lang w:val="en-GB" w:eastAsia="de-DE"/>
    </w:rPr>
  </w:style>
</w:styles>
</file>

<file path=word/webSettings.xml><?xml version="1.0" encoding="utf-8"?>
<w:webSettings xmlns:r="http://schemas.openxmlformats.org/officeDocument/2006/relationships" xmlns:w="http://schemas.openxmlformats.org/wordprocessingml/2006/main">
  <w:divs>
    <w:div w:id="1004356029">
      <w:marLeft w:val="0"/>
      <w:marRight w:val="0"/>
      <w:marTop w:val="0"/>
      <w:marBottom w:val="0"/>
      <w:divBdr>
        <w:top w:val="none" w:sz="0" w:space="0" w:color="auto"/>
        <w:left w:val="none" w:sz="0" w:space="0" w:color="auto"/>
        <w:bottom w:val="none" w:sz="0" w:space="0" w:color="auto"/>
        <w:right w:val="none" w:sz="0" w:space="0" w:color="auto"/>
      </w:divBdr>
      <w:divsChild>
        <w:div w:id="1004356030">
          <w:marLeft w:val="1570"/>
          <w:marRight w:val="0"/>
          <w:marTop w:val="0"/>
          <w:marBottom w:val="0"/>
          <w:divBdr>
            <w:top w:val="none" w:sz="0" w:space="0" w:color="auto"/>
            <w:left w:val="none" w:sz="0" w:space="0" w:color="auto"/>
            <w:bottom w:val="none" w:sz="0" w:space="0" w:color="auto"/>
            <w:right w:val="none" w:sz="0" w:space="0" w:color="auto"/>
          </w:divBdr>
        </w:div>
      </w:divsChild>
    </w:div>
    <w:div w:id="1004356031">
      <w:marLeft w:val="0"/>
      <w:marRight w:val="0"/>
      <w:marTop w:val="0"/>
      <w:marBottom w:val="0"/>
      <w:divBdr>
        <w:top w:val="none" w:sz="0" w:space="0" w:color="auto"/>
        <w:left w:val="none" w:sz="0" w:space="0" w:color="auto"/>
        <w:bottom w:val="none" w:sz="0" w:space="0" w:color="auto"/>
        <w:right w:val="none" w:sz="0" w:space="0" w:color="auto"/>
      </w:divBdr>
    </w:div>
    <w:div w:id="1004356032">
      <w:marLeft w:val="0"/>
      <w:marRight w:val="0"/>
      <w:marTop w:val="0"/>
      <w:marBottom w:val="0"/>
      <w:divBdr>
        <w:top w:val="none" w:sz="0" w:space="0" w:color="auto"/>
        <w:left w:val="none" w:sz="0" w:space="0" w:color="auto"/>
        <w:bottom w:val="none" w:sz="0" w:space="0" w:color="auto"/>
        <w:right w:val="none" w:sz="0" w:space="0" w:color="auto"/>
      </w:divBdr>
    </w:div>
    <w:div w:id="1004356033">
      <w:marLeft w:val="0"/>
      <w:marRight w:val="0"/>
      <w:marTop w:val="0"/>
      <w:marBottom w:val="0"/>
      <w:divBdr>
        <w:top w:val="none" w:sz="0" w:space="0" w:color="auto"/>
        <w:left w:val="none" w:sz="0" w:space="0" w:color="auto"/>
        <w:bottom w:val="none" w:sz="0" w:space="0" w:color="auto"/>
        <w:right w:val="none" w:sz="0" w:space="0" w:color="auto"/>
      </w:divBdr>
    </w:div>
    <w:div w:id="1004356036">
      <w:marLeft w:val="0"/>
      <w:marRight w:val="0"/>
      <w:marTop w:val="0"/>
      <w:marBottom w:val="0"/>
      <w:divBdr>
        <w:top w:val="none" w:sz="0" w:space="0" w:color="auto"/>
        <w:left w:val="none" w:sz="0" w:space="0" w:color="auto"/>
        <w:bottom w:val="none" w:sz="0" w:space="0" w:color="auto"/>
        <w:right w:val="none" w:sz="0" w:space="0" w:color="auto"/>
      </w:divBdr>
    </w:div>
    <w:div w:id="1004356039">
      <w:marLeft w:val="0"/>
      <w:marRight w:val="0"/>
      <w:marTop w:val="0"/>
      <w:marBottom w:val="0"/>
      <w:divBdr>
        <w:top w:val="none" w:sz="0" w:space="0" w:color="auto"/>
        <w:left w:val="none" w:sz="0" w:space="0" w:color="auto"/>
        <w:bottom w:val="none" w:sz="0" w:space="0" w:color="auto"/>
        <w:right w:val="none" w:sz="0" w:space="0" w:color="auto"/>
      </w:divBdr>
    </w:div>
    <w:div w:id="1004356040">
      <w:marLeft w:val="0"/>
      <w:marRight w:val="0"/>
      <w:marTop w:val="0"/>
      <w:marBottom w:val="0"/>
      <w:divBdr>
        <w:top w:val="none" w:sz="0" w:space="0" w:color="auto"/>
        <w:left w:val="none" w:sz="0" w:space="0" w:color="auto"/>
        <w:bottom w:val="none" w:sz="0" w:space="0" w:color="auto"/>
        <w:right w:val="none" w:sz="0" w:space="0" w:color="auto"/>
      </w:divBdr>
    </w:div>
    <w:div w:id="1004356042">
      <w:marLeft w:val="0"/>
      <w:marRight w:val="0"/>
      <w:marTop w:val="0"/>
      <w:marBottom w:val="0"/>
      <w:divBdr>
        <w:top w:val="none" w:sz="0" w:space="0" w:color="auto"/>
        <w:left w:val="none" w:sz="0" w:space="0" w:color="auto"/>
        <w:bottom w:val="none" w:sz="0" w:space="0" w:color="auto"/>
        <w:right w:val="none" w:sz="0" w:space="0" w:color="auto"/>
      </w:divBdr>
      <w:divsChild>
        <w:div w:id="1004356028">
          <w:marLeft w:val="1339"/>
          <w:marRight w:val="0"/>
          <w:marTop w:val="0"/>
          <w:marBottom w:val="120"/>
          <w:divBdr>
            <w:top w:val="none" w:sz="0" w:space="0" w:color="auto"/>
            <w:left w:val="none" w:sz="0" w:space="0" w:color="auto"/>
            <w:bottom w:val="none" w:sz="0" w:space="0" w:color="auto"/>
            <w:right w:val="none" w:sz="0" w:space="0" w:color="auto"/>
          </w:divBdr>
        </w:div>
        <w:div w:id="1004356034">
          <w:marLeft w:val="1339"/>
          <w:marRight w:val="0"/>
          <w:marTop w:val="0"/>
          <w:marBottom w:val="120"/>
          <w:divBdr>
            <w:top w:val="none" w:sz="0" w:space="0" w:color="auto"/>
            <w:left w:val="none" w:sz="0" w:space="0" w:color="auto"/>
            <w:bottom w:val="none" w:sz="0" w:space="0" w:color="auto"/>
            <w:right w:val="none" w:sz="0" w:space="0" w:color="auto"/>
          </w:divBdr>
        </w:div>
        <w:div w:id="1004356035">
          <w:marLeft w:val="1339"/>
          <w:marRight w:val="0"/>
          <w:marTop w:val="0"/>
          <w:marBottom w:val="120"/>
          <w:divBdr>
            <w:top w:val="none" w:sz="0" w:space="0" w:color="auto"/>
            <w:left w:val="none" w:sz="0" w:space="0" w:color="auto"/>
            <w:bottom w:val="none" w:sz="0" w:space="0" w:color="auto"/>
            <w:right w:val="none" w:sz="0" w:space="0" w:color="auto"/>
          </w:divBdr>
        </w:div>
        <w:div w:id="1004356037">
          <w:marLeft w:val="706"/>
          <w:marRight w:val="0"/>
          <w:marTop w:val="0"/>
          <w:marBottom w:val="120"/>
          <w:divBdr>
            <w:top w:val="none" w:sz="0" w:space="0" w:color="auto"/>
            <w:left w:val="none" w:sz="0" w:space="0" w:color="auto"/>
            <w:bottom w:val="none" w:sz="0" w:space="0" w:color="auto"/>
            <w:right w:val="none" w:sz="0" w:space="0" w:color="auto"/>
          </w:divBdr>
        </w:div>
        <w:div w:id="1004356038">
          <w:marLeft w:val="1339"/>
          <w:marRight w:val="0"/>
          <w:marTop w:val="0"/>
          <w:marBottom w:val="120"/>
          <w:divBdr>
            <w:top w:val="none" w:sz="0" w:space="0" w:color="auto"/>
            <w:left w:val="none" w:sz="0" w:space="0" w:color="auto"/>
            <w:bottom w:val="none" w:sz="0" w:space="0" w:color="auto"/>
            <w:right w:val="none" w:sz="0" w:space="0" w:color="auto"/>
          </w:divBdr>
        </w:div>
        <w:div w:id="1004356041">
          <w:marLeft w:val="706"/>
          <w:marRight w:val="0"/>
          <w:marTop w:val="0"/>
          <w:marBottom w:val="120"/>
          <w:divBdr>
            <w:top w:val="none" w:sz="0" w:space="0" w:color="auto"/>
            <w:left w:val="none" w:sz="0" w:space="0" w:color="auto"/>
            <w:bottom w:val="none" w:sz="0" w:space="0" w:color="auto"/>
            <w:right w:val="none" w:sz="0" w:space="0" w:color="auto"/>
          </w:divBdr>
        </w:div>
        <w:div w:id="1004356047">
          <w:marLeft w:val="1339"/>
          <w:marRight w:val="0"/>
          <w:marTop w:val="0"/>
          <w:marBottom w:val="120"/>
          <w:divBdr>
            <w:top w:val="none" w:sz="0" w:space="0" w:color="auto"/>
            <w:left w:val="none" w:sz="0" w:space="0" w:color="auto"/>
            <w:bottom w:val="none" w:sz="0" w:space="0" w:color="auto"/>
            <w:right w:val="none" w:sz="0" w:space="0" w:color="auto"/>
          </w:divBdr>
        </w:div>
      </w:divsChild>
    </w:div>
    <w:div w:id="1004356043">
      <w:marLeft w:val="0"/>
      <w:marRight w:val="0"/>
      <w:marTop w:val="0"/>
      <w:marBottom w:val="0"/>
      <w:divBdr>
        <w:top w:val="none" w:sz="0" w:space="0" w:color="auto"/>
        <w:left w:val="none" w:sz="0" w:space="0" w:color="auto"/>
        <w:bottom w:val="none" w:sz="0" w:space="0" w:color="auto"/>
        <w:right w:val="none" w:sz="0" w:space="0" w:color="auto"/>
      </w:divBdr>
    </w:div>
    <w:div w:id="1004356044">
      <w:marLeft w:val="0"/>
      <w:marRight w:val="0"/>
      <w:marTop w:val="0"/>
      <w:marBottom w:val="0"/>
      <w:divBdr>
        <w:top w:val="none" w:sz="0" w:space="0" w:color="auto"/>
        <w:left w:val="none" w:sz="0" w:space="0" w:color="auto"/>
        <w:bottom w:val="none" w:sz="0" w:space="0" w:color="auto"/>
        <w:right w:val="none" w:sz="0" w:space="0" w:color="auto"/>
      </w:divBdr>
    </w:div>
    <w:div w:id="1004356045">
      <w:marLeft w:val="0"/>
      <w:marRight w:val="0"/>
      <w:marTop w:val="0"/>
      <w:marBottom w:val="0"/>
      <w:divBdr>
        <w:top w:val="none" w:sz="0" w:space="0" w:color="auto"/>
        <w:left w:val="none" w:sz="0" w:space="0" w:color="auto"/>
        <w:bottom w:val="none" w:sz="0" w:space="0" w:color="auto"/>
        <w:right w:val="none" w:sz="0" w:space="0" w:color="auto"/>
      </w:divBdr>
    </w:div>
    <w:div w:id="1004356046">
      <w:marLeft w:val="0"/>
      <w:marRight w:val="0"/>
      <w:marTop w:val="0"/>
      <w:marBottom w:val="0"/>
      <w:divBdr>
        <w:top w:val="none" w:sz="0" w:space="0" w:color="auto"/>
        <w:left w:val="none" w:sz="0" w:space="0" w:color="auto"/>
        <w:bottom w:val="none" w:sz="0" w:space="0" w:color="auto"/>
        <w:right w:val="none" w:sz="0" w:space="0" w:color="auto"/>
      </w:divBdr>
    </w:div>
    <w:div w:id="1004356048">
      <w:marLeft w:val="0"/>
      <w:marRight w:val="0"/>
      <w:marTop w:val="0"/>
      <w:marBottom w:val="0"/>
      <w:divBdr>
        <w:top w:val="none" w:sz="0" w:space="0" w:color="auto"/>
        <w:left w:val="none" w:sz="0" w:space="0" w:color="auto"/>
        <w:bottom w:val="none" w:sz="0" w:space="0" w:color="auto"/>
        <w:right w:val="none" w:sz="0" w:space="0" w:color="auto"/>
      </w:divBdr>
    </w:div>
    <w:div w:id="1004356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tatic.epexspot.com/document/5683/20091005_EPEX_PCR.pdf" TargetMode="External"/><Relationship Id="rId7" Type="http://schemas.openxmlformats.org/officeDocument/2006/relationships/hyperlink" Target="http://www.energy-regulators.eu/portal/page/portal/EER_HOME/EER_INITIATIVES/ERI/South-West/Final%20docs" TargetMode="External"/><Relationship Id="rId2" Type="http://schemas.openxmlformats.org/officeDocument/2006/relationships/hyperlink" Target="http://www.energy-regulators.eu/portal/page/portal/EER_HOME/EER_INITIATIVES/ERI/South-West/Public_consultations/CD" TargetMode="External"/><Relationship Id="rId1" Type="http://schemas.openxmlformats.org/officeDocument/2006/relationships/hyperlink" Target="http://www.entsoe.eu/fileadmin/user_upload/_library/publications/ce/otherreports/tdp09_report_ucte.pdf" TargetMode="External"/><Relationship Id="rId6" Type="http://schemas.openxmlformats.org/officeDocument/2006/relationships/hyperlink" Target="http://www.energy-regulators.eu/portal/page/portal/EER_HOME/EER_INITIATIVES/ERI/South-West/Meetings1/IG_meetings/2supndsup%20SW%20IG/AD/080128_Conclusions_2nd_IG_Meeting_SW_REM_v5%20clean.pdf" TargetMode="External"/><Relationship Id="rId5" Type="http://schemas.openxmlformats.org/officeDocument/2006/relationships/hyperlink" Target="http://www.energy-regulators.eu/portal/page/portal/EER_HOME/EER_INITIATIVES/ERI/South-West/Meetings1/IG_meetings/5supthsup%20SW%20IG/DD/05_5th%20IG%20Point%205%20-%20X-border%20access%20to%20balancing%20markets.pdf" TargetMode="External"/><Relationship Id="rId4" Type="http://schemas.openxmlformats.org/officeDocument/2006/relationships/hyperlink" Target="http://www.energy-regulators.eu/portal/page/portal/EER_HOME/EER_INITIATIVES/ERI/South-West/Meetings1/IG_meetings/5supthsup%20SW%20IG/DD/02_20090527%205th%20IG_SWE%20OMEL_EPEX%20MC_v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Rodrigo\Profesional\CNE\datos%20CNE\action%20plan\Core%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85daa2e-53d8-4475-82b8-9c7d25324e34">ACER-2015-00868</_dlc_DocId>
    <_dlc_DocIdUrl xmlns="985daa2e-53d8-4475-82b8-9c7d25324e34">
      <Url>http://extranet.acer.europa.eu/en/Electricity/Regional_initiatives/_layouts/DocIdRedir.aspx?ID=ACER-2015-00868</Url>
      <Description>ACER-2015-00868</Description>
    </_dlc_DocIdUrl>
    <_dlc_DocIdPersistId xmlns="985daa2e-53d8-4475-82b8-9c7d25324e34">false</_dlc_DocIdPersistId>
    <ACER_Abstract xmlns="985daa2e-53d8-4475-82b8-9c7d25324e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A4F1A83870944D8E1E2C98C373DB66" ma:contentTypeVersion="21" ma:contentTypeDescription="Create a new document." ma:contentTypeScope="" ma:versionID="af7ee366c5cedeb5c7fcd4eaa3cb348f">
  <xsd:schema xmlns:xsd="http://www.w3.org/2001/XMLSchema" xmlns:xs="http://www.w3.org/2001/XMLSchema" xmlns:p="http://schemas.microsoft.com/office/2006/metadata/properties" xmlns:ns1="http://schemas.microsoft.com/sharepoint/v3" xmlns:ns2="985daa2e-53d8-4475-82b8-9c7d25324e34" targetNamespace="http://schemas.microsoft.com/office/2006/metadata/properties" ma:root="true" ma:fieldsID="1424c66c742e3898f49085e26e2c3720" ns1:_="" ns2:_="">
    <xsd:import namespace="http://schemas.microsoft.com/sharepoint/v3"/>
    <xsd:import namespace="985daa2e-53d8-4475-82b8-9c7d25324e3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ACER_Abstract" ma:index="13"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Props1.xml><?xml version="1.0" encoding="utf-8"?>
<ds:datastoreItem xmlns:ds="http://schemas.openxmlformats.org/officeDocument/2006/customXml" ds:itemID="{8A1000D6-F7F2-4F4F-B114-8B5CE7D88C1F}"/>
</file>

<file path=customXml/itemProps2.xml><?xml version="1.0" encoding="utf-8"?>
<ds:datastoreItem xmlns:ds="http://schemas.openxmlformats.org/officeDocument/2006/customXml" ds:itemID="{94D50D8C-B030-4C8D-B16F-2CE321DCFDAC}"/>
</file>

<file path=customXml/itemProps3.xml><?xml version="1.0" encoding="utf-8"?>
<ds:datastoreItem xmlns:ds="http://schemas.openxmlformats.org/officeDocument/2006/customXml" ds:itemID="{2C81A2D1-AD69-430A-9478-267BA2CFC069}"/>
</file>

<file path=customXml/itemProps4.xml><?xml version="1.0" encoding="utf-8"?>
<ds:datastoreItem xmlns:ds="http://schemas.openxmlformats.org/officeDocument/2006/customXml" ds:itemID="{2C6E8CF7-249F-4B99-B36D-34058C2F11C7}"/>
</file>

<file path=docProps/app.xml><?xml version="1.0" encoding="utf-8"?>
<Properties xmlns="http://schemas.openxmlformats.org/officeDocument/2006/extended-properties" xmlns:vt="http://schemas.openxmlformats.org/officeDocument/2006/docPropsVTypes">
  <Template>Core document</Template>
  <TotalTime>33</TotalTime>
  <Pages>22</Pages>
  <Words>5768</Words>
  <Characters>33315</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01</vt:lpstr>
    </vt:vector>
  </TitlesOfParts>
  <Company>E-Control</Company>
  <LinksUpToDate>false</LinksUpToDate>
  <CharactersWithSpaces>39005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creator>Rodrigo Escobar</dc:creator>
  <cp:lastModifiedBy>Rodrigo Escobar</cp:lastModifiedBy>
  <cp:revision>8</cp:revision>
  <cp:lastPrinted>2011-02-17T12:57:00Z</cp:lastPrinted>
  <dcterms:created xsi:type="dcterms:W3CDTF">2011-11-11T09:30:00Z</dcterms:created>
  <dcterms:modified xsi:type="dcterms:W3CDTF">2011-11-11T10:57:00Z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0x0101003EA4F1A83870944D8E1E2C98C373DB66</vt:lpwstr>
  </property>
  <property fmtid="{D5CDD505-2E9C-101B-9397-08002B2CF9AE}" pid="3" name="_dlc_DocIdItemGuid">
    <vt:lpwstr>659e8977-2452-4ae3-9152-f3bce924538f</vt:lpwstr>
  </property>
  <property fmtid="{D5CDD505-2E9C-101B-9397-08002B2CF9AE}" pid="4" name="Order">
    <vt:r8>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